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71" w:rsidRPr="00A65C71" w:rsidRDefault="00A65C71" w:rsidP="00A65C71">
      <w:pPr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 w:rsidRPr="00A65C71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Bertrand Mathieu</w:t>
      </w:r>
    </w:p>
    <w:p w:rsidR="00A65C71" w:rsidRPr="00A65C71" w:rsidRDefault="00A65C71" w:rsidP="00A65C71">
      <w:pPr>
        <w:spacing w:after="450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i/>
          <w:iCs/>
          <w:sz w:val="20"/>
          <w:szCs w:val="20"/>
        </w:rPr>
        <w:t>Publié</w:t>
      </w:r>
      <w:proofErr w:type="spellEnd"/>
      <w:r w:rsidRPr="00A65C71">
        <w:rPr>
          <w:rFonts w:ascii="Times New Roman" w:hAnsi="Times New Roman" w:cs="Times New Roman"/>
          <w:i/>
          <w:iCs/>
          <w:sz w:val="20"/>
          <w:szCs w:val="20"/>
        </w:rPr>
        <w:t xml:space="preserve"> le 26 </w:t>
      </w:r>
      <w:proofErr w:type="spellStart"/>
      <w:r w:rsidRPr="00A65C71">
        <w:rPr>
          <w:rFonts w:ascii="Times New Roman" w:hAnsi="Times New Roman" w:cs="Times New Roman"/>
          <w:i/>
          <w:iCs/>
          <w:sz w:val="20"/>
          <w:szCs w:val="20"/>
        </w:rPr>
        <w:t>janvier</w:t>
      </w:r>
      <w:proofErr w:type="spellEnd"/>
      <w:r w:rsidRPr="00A65C71">
        <w:rPr>
          <w:rFonts w:ascii="Times New Roman" w:hAnsi="Times New Roman" w:cs="Times New Roman"/>
          <w:i/>
          <w:iCs/>
          <w:sz w:val="20"/>
          <w:szCs w:val="20"/>
        </w:rPr>
        <w:t xml:space="preserve"> 2009 par CRDC</w:t>
      </w:r>
    </w:p>
    <w:p w:rsidR="00A65C71" w:rsidRPr="00A65C71" w:rsidRDefault="00A65C71" w:rsidP="00A65C71">
      <w:pPr>
        <w:shd w:val="clear" w:color="auto" w:fill="FFFFFF"/>
        <w:spacing w:after="45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r w:rsidRPr="00A65C71">
        <w:rPr>
          <w:rFonts w:ascii="Times New Roman" w:hAnsi="Times New Roman" w:cs="Times New Roman"/>
          <w:color w:val="000000"/>
          <w:sz w:val="20"/>
          <w:szCs w:val="20"/>
        </w:rPr>
        <w:t>BERTRAND MATHIEU </w:t>
      </w:r>
    </w:p>
    <w:bookmarkEnd w:id="0"/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Professeur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à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L’université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Paris I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Chevalier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l’Ordre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Légion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d’honneur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>I. BIOGRAPHIE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Maîtrise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privé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(1978)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D.E.A.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d'Etudes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politiques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(1979) et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d'Histoire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institutions (1980) à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Faculté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 de science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politique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Dijon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Doctorat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d'Etat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(1985)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Agrégé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public (1988)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Professeur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à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l'Institut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d'Etudes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politiques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Lyon (1988)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Professeur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à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Faculté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de science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politique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l’Université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Bourgogne(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>1992-1998)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Professeur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à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l’Université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Paris I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Panthéon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-Sorbonne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depuis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1998 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>II. PUBLICATIONS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-ACTIVITES EN MATIERE DE RECHERCHE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PUBLICATIONS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Manuels</w:t>
      </w:r>
      <w:proofErr w:type="spellEnd"/>
      <w:r w:rsidRPr="00A65C7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(En collaboration avec A. Laude et D.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Tabuteau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la santé,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Thémis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PUF, 2007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Autres</w:t>
      </w:r>
      <w:proofErr w:type="spellEnd"/>
      <w:r w:rsidRPr="00A65C7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ouvrages</w:t>
      </w:r>
      <w:proofErr w:type="spellEnd"/>
      <w:r w:rsidRPr="00A65C7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collaboration avec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S.Rials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M.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Verpeaux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Textes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République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sais je n° 3726, P.UF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.,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2005 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à la vie, Editions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l’Europe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2005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Direction de </w:t>
      </w:r>
      <w:proofErr w:type="spellStart"/>
      <w:r w:rsidRPr="00A65C7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colloques</w:t>
      </w:r>
      <w:proofErr w:type="spellEnd"/>
      <w:r w:rsidRPr="00A65C7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(Direction, en collaboration avec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M.Verpeaux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F.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Mélin-Soucramanien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), Constitution et construction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européenne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Les cahiers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Paris I,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Dalloz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2006 ;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(Direction en collaboration avec M.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Verpeaux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)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réforme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travail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législatif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Les Cahiers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Paris I,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Dalloz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2006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(Direction, en collaboration avec M.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Verpeaux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L’intérêt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général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norme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 Les Cahiers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Paris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I ,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Dalloz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2007 ;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(Direction en collaboration avec M.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Verpeaux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Responsabilité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démocratie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Dalloz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2008 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Direction de collection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Les Cahiers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Paris I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Dalloz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Autres</w:t>
      </w:r>
      <w:proofErr w:type="spellEnd"/>
      <w:r w:rsidRPr="00A65C7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publications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général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délit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d’homophobie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ou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la violation de la Constitution par consensus, Tribune, A.J.D.A., 2005, p.113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 Le respect de la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 :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risque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ou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exigence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?,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Recueil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Dalloz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2005, p. 2401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portée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Charte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pour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juge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Actualité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juridique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administratif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 2005, p. 1170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collaboration avec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M.Verpeaux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Les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normes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référence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extra-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constitutionnelles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dans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la jurisprudence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Mélanges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Loïc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Philip,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Economica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2005, p. 155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La part de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loi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la part du </w:t>
      </w:r>
      <w:proofErr w:type="spellStart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règlement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loi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Pouvoirs,2005, n°114,p.73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L’utilisation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principes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législatifs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code civil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comme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norme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référence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dans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 cadre 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contrôle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constitutionnalité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in A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..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F.D. C., Code civil et constitution(s), </w:t>
      </w:r>
      <w:proofErr w:type="spellStart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Economica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 2005, 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d’amendement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: en user sans en abuser, AJDA 2006, p. 306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lois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mémorielles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ou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la violation de la Constitution par consensus,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Recueil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Dalloz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2006, p. 301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principe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sécurité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juridique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entre au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d’Etat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Actualité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juridique-Droit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administratif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2006,p.841 ;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collab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. Avec Anne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Levade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L’internationalisation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acteurs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-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domaines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-techniques, Revue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européenne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public,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vol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18, n°1, 2006,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 .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161 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normativité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loi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une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exigence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démocratique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Les Cahiers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,, n°21,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Dalloz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2006, p. 69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renforce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exigences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relatives à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qualité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travail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législatif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à 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sécurité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juridique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note sous 2006-544 DC,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Semaine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Juridique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ed. gale, 2007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,  p.3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répartition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compétences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entre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loi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les accords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collectifs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de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5C71">
        <w:rPr>
          <w:rFonts w:ascii="Times New Roman" w:hAnsi="Times New Roman" w:cs="Times New Roman"/>
          <w:color w:val="000000"/>
          <w:sz w:val="20"/>
          <w:szCs w:val="20"/>
        </w:rPr>
        <w:t>travail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français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Les Cahiers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Université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Laval, Québec Canada, 2007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Les «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lois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mémorielles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»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ou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la violation de la Constitution par consensus,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Recueil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Dalloz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 2006, p. 3001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victoire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V°République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Les Petites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Affiches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2007, n°105, p.5 En collaboration avec H.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Hourdin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« Clarifier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répartition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pouvoirs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au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sein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l’éxécutif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renforcer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Parlement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donner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nouveaux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aux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citoyens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»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,  La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Semaine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juridique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ed.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Générale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2007, n°201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collab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. Avec Anne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Levade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L’internationalisation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acteurs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-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domaines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-techniques, Revue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européenne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public,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vol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18, n°1, 2006,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 .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161 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normativité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loi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une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exigence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démocratique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Les Cahiers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,, n°21,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Dalloz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2006, p. 69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renforce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exigences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relatives à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qualité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travail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législatif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à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5C71">
        <w:rPr>
          <w:rFonts w:ascii="Times New Roman" w:hAnsi="Times New Roman" w:cs="Times New Roman"/>
          <w:color w:val="000000"/>
          <w:sz w:val="20"/>
          <w:szCs w:val="20"/>
        </w:rPr>
        <w:t>la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sécurité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juridique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note sous 2006-544 DC,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Semaine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Juridique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ed. gale, 2007,  p.3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rôles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juge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législateur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dans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détermination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l’intérêt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général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in La </w:t>
      </w:r>
      <w:proofErr w:type="spellStart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Création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5C71">
        <w:rPr>
          <w:rFonts w:ascii="Times New Roman" w:hAnsi="Times New Roman" w:cs="Times New Roman"/>
          <w:color w:val="000000"/>
          <w:sz w:val="20"/>
          <w:szCs w:val="20"/>
        </w:rPr>
        <w:t>du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par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juge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Archives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philosophie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T. 50,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Dalloz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2007 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procédure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  « LOLF » : un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modèle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pour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l’élaboration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lois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ordinaires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? , Revue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française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Finances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publiques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2007, n° 97, p.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53 ;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Répartition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compétences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normatives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qualité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loi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Annuaire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international de justice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2006,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Economica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2007, p. 573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incertitudes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affectant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statut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pénal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Jacques Chirac,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Semaine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juridique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ed. Gale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5C71">
        <w:rPr>
          <w:rFonts w:ascii="Times New Roman" w:hAnsi="Times New Roman" w:cs="Times New Roman"/>
          <w:color w:val="000000"/>
          <w:sz w:val="20"/>
          <w:szCs w:val="20"/>
        </w:rPr>
        <w:t>n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°264, 2007.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(En collaboration avec M.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Verpeaux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Amnistie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prescription et grâce en Europe,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conclusions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5C71">
        <w:rPr>
          <w:rFonts w:ascii="Times New Roman" w:hAnsi="Times New Roman" w:cs="Times New Roman"/>
          <w:color w:val="000000"/>
          <w:sz w:val="20"/>
          <w:szCs w:val="20"/>
        </w:rPr>
        <w:t>comparatives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in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s.d.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H. Ruiz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Fabri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alli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clémence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saisie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par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amnistie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prescription et grâce en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international et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comparé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Société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législation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comparée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2007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constitutionnalisation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risquée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principe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précaution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Mélanges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Jaqueline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Morand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Deviller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Montchrestien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2007, p. 891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 Jurisprudence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collaboration avec M.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Verpeaux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chroniques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jurisprudence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au J.CP. , 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à la Revue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européenne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public).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L’extension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compétence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juges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proximité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devant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tempête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dans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un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verre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d’eau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Recueil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Dalloz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2005, p. 449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Un an de jurisprudence </w:t>
      </w:r>
      <w:proofErr w:type="spellStart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bilan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perspectives et questions,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Recueil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Dalloz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 2005, p. 920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censure les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lois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trop «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verbeuses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à propos de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décision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2005-</w:t>
      </w: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512DC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J.C.P., 2005,p. 879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Examen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compatibilité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à la Constitution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deux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protocoles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additionnels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concernant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l’abolition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peine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mort, note sous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décision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2005-524-525 DC, J.C.P., 2005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,  II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10171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L’examen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juridique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constitutionnalité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contrat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première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embauche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à propos de la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décision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30 mars 2006, Les Petites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Affiches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2006, n° 74, p. 4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collab.Avec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M.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Verpeaux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L’incidence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saisines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la jurisprudence, in AFDC et GERJC, 30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ans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saisine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parlementaire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Economica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2006, p. 49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européen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communautaire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fait son entrée au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(à propos de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décision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 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loi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relative au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d’auteur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aux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voisins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dans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la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société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l’information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) Les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PetitesAffiches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2006, n°147, p.3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Réflexions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rôle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l’Etat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tant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qu’èlèment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pouvoir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constituant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l’Union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européenne</w:t>
      </w:r>
      <w:proofErr w:type="spellEnd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 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Annuaire</w:t>
      </w:r>
      <w:proofErr w:type="spellEnd"/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 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européen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2004,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Bruylant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2006, p.105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Les rapports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normatifs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entre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communautaire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national.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Bilan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incertitudes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relatifs</w:t>
      </w:r>
      <w:proofErr w:type="spellEnd"/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aux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évolutions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récentes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juges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administratif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français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, Revue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française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2007, n° n°72, p. 675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contôle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lois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transposition des directives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communautaires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par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ou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difficultés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cartésianisme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Mélanges Louis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Favoreu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Dalloz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2007, p. 1307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« Les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règles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les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principes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inhérents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à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l’identité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la France »,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une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catégorie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juridique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fonctionnelle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à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définir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Mélanges Francis,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Délpérée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Bruylant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LGDJ, 2007, p. 977 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fondamentaux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bioéthique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Médecine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génétique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interrogations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éthiques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in La santé, Cahiers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français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n°324, 2005, p. 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79 ;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Les avatars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à la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santé :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éléments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d’analyse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à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partir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français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 in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s.d.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Aouij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Mrad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M.H.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Douchez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B. Feuillet, Santé, argent et </w:t>
      </w:r>
      <w:proofErr w:type="spellStart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éthique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une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indispensable conciliation ? </w:t>
      </w:r>
      <w:proofErr w:type="spellStart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étude</w:t>
      </w:r>
      <w:proofErr w:type="spellEnd"/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française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tunisienne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L’Harmattan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2005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Commentaire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l’article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II-61-Dignité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humaine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Traité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établissant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une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Constitution pour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l’Europe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Commentaire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article par article,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s.d.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Burguorgue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-Larsen, A.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Levade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F.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Picod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Bruylant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2005, p. 35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quelques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moyens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d’évacuer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dignité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humaine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l’o</w:t>
      </w:r>
      <w:r>
        <w:rPr>
          <w:rFonts w:ascii="Times New Roman" w:hAnsi="Times New Roman" w:cs="Times New Roman"/>
          <w:color w:val="000000"/>
          <w:sz w:val="20"/>
          <w:szCs w:val="20"/>
        </w:rPr>
        <w:t>rdre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juridique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Recueil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Dalloz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65C71">
        <w:rPr>
          <w:rFonts w:ascii="Times New Roman" w:hAnsi="Times New Roman" w:cs="Times New Roman"/>
          <w:color w:val="000000"/>
          <w:sz w:val="20"/>
          <w:szCs w:val="20"/>
        </w:rPr>
        <w:t>2005, p. 1649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bioéthique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matrice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d’un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homme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nouveau, Mélanges Cohen Jonathan,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Bruylant</w:t>
      </w:r>
      <w:proofErr w:type="spellEnd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 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Tomme</w:t>
      </w:r>
      <w:proofErr w:type="spellEnd"/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II, p 1209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L’incidence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normes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internationales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national en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matière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bioéthique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entre influence et incantation,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publié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sous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titre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incidência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das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normas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internacionais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sobre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o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direito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nacional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em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materia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bioetica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: entre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influencia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encantamento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,, in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Revista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Opiniao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juridica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Ano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III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vol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5 2005-1, p 321,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Faculdade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Christus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Fortaleza,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Brésil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bioéthique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miroir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acteur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transformations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sociales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humaines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in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s.d.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M.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Bussani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M.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Gaziadei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Human diversity and the law (La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diversité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humaine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)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Stämpfli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Publischers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Berne,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Bruylant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Brussels, Ant. N.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Sakkoulas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Athens, 2005,P103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Synthèse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conclusions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Colloque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  «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liberté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personnelle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une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autre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conception de la </w:t>
      </w:r>
      <w:proofErr w:type="spellStart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liberté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?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»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s.d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; H. Roussillon et X.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Bioy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Presses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l’Université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sciences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sociales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 Toulouse, 2006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collab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. Avec M.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Verpeaux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),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garantie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libertés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in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s.d.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M.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Verpeaux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M.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Bonnard,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La Documentation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française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2007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bioéthique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ou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comment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déroger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au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commun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l’homme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?, in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s.d.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S.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Maljean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-Dubois,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société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internationale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les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enjeux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bioéthique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Pedone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2006, p. 85-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L'appréhension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l'eugénisme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par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: entre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réglementation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interdiction, in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s.d.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J.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Gayon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D. Jacobi,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L’éternel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retour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l’eugénisme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PUF 2006, p. 247 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Contribution, in P.L.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Fagniez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Cellules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souches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choix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éthiques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Rapport au Premier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Ministre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La Documentation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française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2006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L’avortement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la Convention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EDH :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politique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petits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pas, note sous CEDH, 20 mars 2007, J.C.P., 2007, n° 10071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Plaidoyer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d’un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juriste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pour un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discours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bioéthique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engagé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in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s.d.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N. M.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Douarin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C.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Puigelier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Science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éthique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Editions O. Jacob, 2007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Implanter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ou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détruire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?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Quand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géniteurs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s’affrontent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 sort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embryons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qu’ils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ont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conçus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note sous CEDH, Gr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chbre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10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avril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2007, J.C.P., 2007, n°10097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>Divers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Rapport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synthèse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public) in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s.d.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J. Foyer, F.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Terré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C.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Puigelier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L’Erreur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Cahiers des sciences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morales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politiques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P.U.F., 2007, p.289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ORGANISATION DE COLLOQUES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Co-organisation de la première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journée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«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printemps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»,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thème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«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réforme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travail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législatif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», Assemblée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nationale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mars 2005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Co-organisation de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journée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d’études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L’intérêt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général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norme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octobre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2006 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Co-organisation de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journée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d’études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Responsabilité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démocratie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Sénat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 mars 2007.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A65C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RESPONSABILITES SCIENTIFIQUES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Président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l'Association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française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constitutionnalistes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Directeur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Centre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recherches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l’Université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Paris I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Panthéon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- Sorbonne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Membre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Groupe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Européen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Public(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>European Group of Public Law) </w:t>
      </w:r>
    </w:p>
    <w:p w:rsid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Membre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l’Institut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international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droits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l’homme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-René Cassin </w:t>
      </w:r>
    </w:p>
    <w:p w:rsidR="00A65C71" w:rsidRPr="00A65C71" w:rsidRDefault="00A65C71" w:rsidP="00A65C71">
      <w:pPr>
        <w:pStyle w:val="ListParagraph"/>
        <w:numPr>
          <w:ilvl w:val="0"/>
          <w:numId w:val="3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Membre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Société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française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législation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comparée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A65C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INTERVENTION AUPRES DU PARLEMENT ET PARTICIPATION A DIVERSES </w:t>
      </w:r>
    </w:p>
    <w:p w:rsidR="00A65C71" w:rsidRPr="00A65C71" w:rsidRDefault="00A65C71" w:rsidP="00A65C71">
      <w:p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INSTITUITONS </w:t>
      </w:r>
    </w:p>
    <w:p w:rsidR="00A65C71" w:rsidRPr="00A65C71" w:rsidRDefault="00A65C71" w:rsidP="00A65C71">
      <w:pPr>
        <w:pStyle w:val="ListParagraph"/>
        <w:numPr>
          <w:ilvl w:val="0"/>
          <w:numId w:val="2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Membre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Comité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réflexion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de proposition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modernisation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institutions de la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Cinquième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République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(2007) </w:t>
      </w:r>
    </w:p>
    <w:p w:rsidR="00A65C71" w:rsidRPr="00A65C71" w:rsidRDefault="00A65C71" w:rsidP="00A65C71">
      <w:pPr>
        <w:pStyle w:val="ListParagraph"/>
        <w:numPr>
          <w:ilvl w:val="0"/>
          <w:numId w:val="2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Audition par la Commission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lois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Sénat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projet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révision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Titre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Xv  la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 Constitution (De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l’Union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européenne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) 26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janvier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2005., Rapport n° 180,  9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février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2005 </w:t>
      </w:r>
    </w:p>
    <w:p w:rsidR="00A65C71" w:rsidRPr="00A65C71" w:rsidRDefault="00A65C71" w:rsidP="00A65C71">
      <w:pPr>
        <w:pStyle w:val="ListParagraph"/>
        <w:numPr>
          <w:ilvl w:val="0"/>
          <w:numId w:val="2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Audition par le rapporteur de la Section du rapport et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études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d’Etat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la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sécurité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juridique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 27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mai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2005 </w:t>
      </w:r>
    </w:p>
    <w:p w:rsidR="00A65C71" w:rsidRPr="00A65C71" w:rsidRDefault="00A65C71" w:rsidP="00A65C71">
      <w:pPr>
        <w:pStyle w:val="ListParagraph"/>
        <w:numPr>
          <w:ilvl w:val="0"/>
          <w:numId w:val="2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Audition par la Mission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d’information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relative aux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recherches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les cellules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souches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>, </w:t>
      </w:r>
    </w:p>
    <w:p w:rsidR="00A65C71" w:rsidRPr="00A65C71" w:rsidRDefault="00A65C71" w:rsidP="00A65C71">
      <w:pPr>
        <w:pStyle w:val="ListParagraph"/>
        <w:numPr>
          <w:ilvl w:val="0"/>
          <w:numId w:val="2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Assemblée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nationale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, 27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avril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2006 ;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A65C71" w:rsidRPr="00A65C71" w:rsidRDefault="00A65C71" w:rsidP="00A65C71">
      <w:pPr>
        <w:pStyle w:val="ListParagraph"/>
        <w:numPr>
          <w:ilvl w:val="0"/>
          <w:numId w:val="1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Audition par le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Conseil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constitutionnel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sur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la question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recours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aux tests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génétiques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dans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le cadre du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regroupement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familial (decision 2007-557 DC), 25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octobre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2007 ;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A65C71" w:rsidRPr="00A65C71" w:rsidRDefault="00A65C71" w:rsidP="00A65C71">
      <w:pPr>
        <w:pStyle w:val="ListParagraph"/>
        <w:numPr>
          <w:ilvl w:val="0"/>
          <w:numId w:val="1"/>
        </w:numPr>
        <w:shd w:val="clear" w:color="auto" w:fill="FFFFFF"/>
        <w:spacing w:after="450"/>
        <w:rPr>
          <w:rFonts w:ascii="Times New Roman" w:hAnsi="Times New Roman" w:cs="Times New Roman"/>
          <w:color w:val="000000"/>
          <w:sz w:val="20"/>
          <w:szCs w:val="20"/>
        </w:rPr>
      </w:pPr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Audition par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l’Office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parlementaire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d’évaluation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des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choix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politiques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proofErr w:type="gram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scientifques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Sur le 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thème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« sciences de vivant et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société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: la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loi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bioéthique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demain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», 29 </w:t>
      </w:r>
      <w:proofErr w:type="spellStart"/>
      <w:r w:rsidRPr="00A65C71">
        <w:rPr>
          <w:rFonts w:ascii="Times New Roman" w:hAnsi="Times New Roman" w:cs="Times New Roman"/>
          <w:color w:val="000000"/>
          <w:sz w:val="20"/>
          <w:szCs w:val="20"/>
        </w:rPr>
        <w:t>novembre</w:t>
      </w:r>
      <w:proofErr w:type="spellEnd"/>
      <w:r w:rsidRPr="00A65C71">
        <w:rPr>
          <w:rFonts w:ascii="Times New Roman" w:hAnsi="Times New Roman" w:cs="Times New Roman"/>
          <w:color w:val="000000"/>
          <w:sz w:val="20"/>
          <w:szCs w:val="20"/>
        </w:rPr>
        <w:t xml:space="preserve"> 2007 </w:t>
      </w:r>
    </w:p>
    <w:p w:rsidR="003D2CE6" w:rsidRPr="00A65C71" w:rsidRDefault="003D2CE6" w:rsidP="00A65C71">
      <w:pPr>
        <w:rPr>
          <w:rFonts w:ascii="Times New Roman" w:hAnsi="Times New Roman" w:cs="Times New Roman"/>
          <w:sz w:val="20"/>
          <w:szCs w:val="20"/>
        </w:rPr>
      </w:pPr>
    </w:p>
    <w:sectPr w:rsidR="003D2CE6" w:rsidRPr="00A65C71" w:rsidSect="008E70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603"/>
    <w:multiLevelType w:val="hybridMultilevel"/>
    <w:tmpl w:val="EBB66430"/>
    <w:lvl w:ilvl="0" w:tplc="1F2C314A">
      <w:start w:val="18"/>
      <w:numFmt w:val="bullet"/>
      <w:lvlText w:val="-"/>
      <w:lvlJc w:val="left"/>
      <w:pPr>
        <w:ind w:left="36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8C4150"/>
    <w:multiLevelType w:val="hybridMultilevel"/>
    <w:tmpl w:val="ED5EC714"/>
    <w:lvl w:ilvl="0" w:tplc="D396C624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87BB1"/>
    <w:multiLevelType w:val="hybridMultilevel"/>
    <w:tmpl w:val="5AF276B8"/>
    <w:lvl w:ilvl="0" w:tplc="1F2C314A">
      <w:start w:val="18"/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C5617"/>
    <w:multiLevelType w:val="hybridMultilevel"/>
    <w:tmpl w:val="A5542F54"/>
    <w:lvl w:ilvl="0" w:tplc="7A2079D6">
      <w:start w:val="18"/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71"/>
    <w:rsid w:val="003D2CE6"/>
    <w:rsid w:val="008E70B6"/>
    <w:rsid w:val="00A6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866E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C7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C71"/>
    <w:rPr>
      <w:rFonts w:ascii="Times" w:hAnsi="Times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A65C7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eta-date">
    <w:name w:val="meta-date"/>
    <w:basedOn w:val="DefaultParagraphFont"/>
    <w:rsid w:val="00A65C71"/>
  </w:style>
  <w:style w:type="character" w:customStyle="1" w:styleId="apple-converted-space">
    <w:name w:val="apple-converted-space"/>
    <w:basedOn w:val="DefaultParagraphFont"/>
    <w:rsid w:val="00A65C71"/>
  </w:style>
  <w:style w:type="character" w:customStyle="1" w:styleId="meta-author">
    <w:name w:val="meta-author"/>
    <w:basedOn w:val="DefaultParagraphFont"/>
    <w:rsid w:val="00A65C71"/>
  </w:style>
  <w:style w:type="paragraph" w:styleId="NormalWeb">
    <w:name w:val="Normal (Web)"/>
    <w:basedOn w:val="Normal"/>
    <w:uiPriority w:val="99"/>
    <w:semiHidden/>
    <w:unhideWhenUsed/>
    <w:rsid w:val="00A65C7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65C71"/>
    <w:rPr>
      <w:i/>
      <w:iCs/>
    </w:rPr>
  </w:style>
  <w:style w:type="paragraph" w:styleId="ListParagraph">
    <w:name w:val="List Paragraph"/>
    <w:basedOn w:val="Normal"/>
    <w:uiPriority w:val="34"/>
    <w:qFormat/>
    <w:rsid w:val="00A65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C7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C71"/>
    <w:rPr>
      <w:rFonts w:ascii="Times" w:hAnsi="Times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A65C7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eta-date">
    <w:name w:val="meta-date"/>
    <w:basedOn w:val="DefaultParagraphFont"/>
    <w:rsid w:val="00A65C71"/>
  </w:style>
  <w:style w:type="character" w:customStyle="1" w:styleId="apple-converted-space">
    <w:name w:val="apple-converted-space"/>
    <w:basedOn w:val="DefaultParagraphFont"/>
    <w:rsid w:val="00A65C71"/>
  </w:style>
  <w:style w:type="character" w:customStyle="1" w:styleId="meta-author">
    <w:name w:val="meta-author"/>
    <w:basedOn w:val="DefaultParagraphFont"/>
    <w:rsid w:val="00A65C71"/>
  </w:style>
  <w:style w:type="paragraph" w:styleId="NormalWeb">
    <w:name w:val="Normal (Web)"/>
    <w:basedOn w:val="Normal"/>
    <w:uiPriority w:val="99"/>
    <w:semiHidden/>
    <w:unhideWhenUsed/>
    <w:rsid w:val="00A65C7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65C71"/>
    <w:rPr>
      <w:i/>
      <w:iCs/>
    </w:rPr>
  </w:style>
  <w:style w:type="paragraph" w:styleId="ListParagraph">
    <w:name w:val="List Paragraph"/>
    <w:basedOn w:val="Normal"/>
    <w:uiPriority w:val="34"/>
    <w:qFormat/>
    <w:rsid w:val="00A6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39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1801</Words>
  <Characters>10267</Characters>
  <Application>Microsoft Macintosh Word</Application>
  <DocSecurity>0</DocSecurity>
  <Lines>85</Lines>
  <Paragraphs>24</Paragraphs>
  <ScaleCrop>false</ScaleCrop>
  <Company>Panteion University of Social and Political Science</Company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Aikaterini-Paraskevi Karamanli</dc:creator>
  <cp:keywords/>
  <dc:description/>
  <cp:lastModifiedBy>Aikaterini-Paraskevi Karamanli</cp:lastModifiedBy>
  <cp:revision>1</cp:revision>
  <dcterms:created xsi:type="dcterms:W3CDTF">2014-12-10T08:06:00Z</dcterms:created>
  <dcterms:modified xsi:type="dcterms:W3CDTF">2014-12-10T08:20:00Z</dcterms:modified>
</cp:coreProperties>
</file>