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C3" w:rsidRPr="00702579" w:rsidRDefault="005C27A5" w:rsidP="00702579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hAnsi="Verdana" w:cs="Times New Roman"/>
          <w:b/>
          <w:color w:val="17365D" w:themeColor="text2" w:themeShade="BF"/>
          <w:sz w:val="17"/>
          <w:szCs w:val="17"/>
        </w:rPr>
      </w:pPr>
      <w:r>
        <w:rPr>
          <w:rFonts w:ascii="Verdana" w:hAnsi="Verdana" w:cs="Times New Roman"/>
          <w:b/>
          <w:noProof/>
          <w:color w:val="17365D" w:themeColor="text2" w:themeShade="BF"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-8.95pt;margin-top:-8.95pt;width:189pt;height:198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" filled="f" stroked="f">
            <v:textbox>
              <w:txbxContent>
                <w:p w:rsidR="00702579" w:rsidRPr="00702579" w:rsidRDefault="00702579">
                  <w:pPr>
                    <w:rPr>
                      <w:b/>
                      <w:color w:val="17365D" w:themeColor="text2" w:themeShade="BF"/>
                    </w:rPr>
                  </w:pPr>
                  <w:r w:rsidRPr="00702579">
                    <w:rPr>
                      <w:b/>
                      <w:color w:val="17365D" w:themeColor="text2" w:themeShade="BF"/>
                    </w:rPr>
                    <w:t>Dr John Allison</w:t>
                  </w:r>
                </w:p>
                <w:p w:rsidR="00702579" w:rsidRDefault="00702579"/>
                <w:p w:rsidR="000A09C3" w:rsidRDefault="000A09C3">
                  <w:r w:rsidRPr="000A09C3">
                    <w:rPr>
                      <w:noProof/>
                    </w:rPr>
                    <w:drawing>
                      <wp:inline distT="0" distB="0" distL="0" distR="0">
                        <wp:extent cx="1270000" cy="1651000"/>
                        <wp:effectExtent l="0" t="0" r="0" b="0"/>
                        <wp:docPr id="73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165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09C3" w:rsidRDefault="000A09C3"/>
                <w:p w:rsidR="00702579" w:rsidRPr="00702579" w:rsidRDefault="005C27A5">
                  <w:pPr>
                    <w:rPr>
                      <w:rFonts w:ascii="Verdana" w:hAnsi="Verdana"/>
                    </w:rPr>
                  </w:pPr>
                  <w:hyperlink r:id="rId7" w:history="1">
                    <w:r w:rsidR="00702579" w:rsidRPr="00702579">
                      <w:rPr>
                        <w:rStyle w:val="Hyperlink"/>
                        <w:rFonts w:ascii="Verdana" w:hAnsi="Verdana"/>
                      </w:rPr>
                      <w:t>jwfa1@cam.ac.uk</w:t>
                    </w:r>
                  </w:hyperlink>
                </w:p>
              </w:txbxContent>
            </v:textbox>
            <w10:wrap type="square"/>
          </v:shape>
        </w:pict>
      </w:r>
      <w:r w:rsidR="000A09C3" w:rsidRPr="00702579">
        <w:rPr>
          <w:rFonts w:ascii="Verdana" w:hAnsi="Verdana" w:cs="Times New Roman"/>
          <w:b/>
          <w:color w:val="17365D" w:themeColor="text2" w:themeShade="BF"/>
          <w:sz w:val="17"/>
          <w:szCs w:val="17"/>
        </w:rPr>
        <w:t>Queen’s College, University of Cambridge</w:t>
      </w:r>
    </w:p>
    <w:p w:rsidR="000A09C3" w:rsidRPr="000A09C3" w:rsidRDefault="000A09C3" w:rsidP="00702579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A09C3">
        <w:rPr>
          <w:rFonts w:ascii="Verdana" w:hAnsi="Verdana" w:cs="Times New Roman"/>
          <w:color w:val="000000"/>
          <w:sz w:val="17"/>
          <w:szCs w:val="17"/>
        </w:rPr>
        <w:t>B.A., LL.B., (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Stell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), LL.M.,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M.Phil.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>, Ph.D. (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Cantab.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>)</w:t>
      </w:r>
    </w:p>
    <w:p w:rsidR="001D69B4" w:rsidRPr="001D69B4" w:rsidRDefault="001D69B4" w:rsidP="001D69B4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bookmarkStart w:id="0" w:name="_GoBack"/>
      <w:r w:rsidRPr="001D69B4">
        <w:rPr>
          <w:rFonts w:ascii="Verdana" w:hAnsi="Verdana" w:cs="Times New Roman"/>
          <w:color w:val="000000"/>
          <w:sz w:val="17"/>
          <w:szCs w:val="17"/>
        </w:rPr>
        <w:t>Reader in Public Law and Comparative Historical Jurisprudence</w:t>
      </w:r>
    </w:p>
    <w:p w:rsidR="000A09C3" w:rsidRPr="000A09C3" w:rsidRDefault="000A09C3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2F4771"/>
          <w:spacing w:val="-15"/>
          <w:sz w:val="18"/>
          <w:szCs w:val="18"/>
        </w:rPr>
      </w:pPr>
      <w:r w:rsidRPr="000A09C3">
        <w:rPr>
          <w:rFonts w:ascii="Verdana" w:eastAsia="Times New Roman" w:hAnsi="Verdana" w:cs="Times New Roman"/>
          <w:b/>
          <w:bCs/>
          <w:color w:val="2F4771"/>
          <w:spacing w:val="-15"/>
          <w:sz w:val="18"/>
          <w:szCs w:val="18"/>
        </w:rPr>
        <w:t>I</w:t>
      </w:r>
      <w:r w:rsidRPr="00702579">
        <w:rPr>
          <w:rFonts w:ascii="Verdana" w:eastAsia="Times New Roman" w:hAnsi="Verdana" w:cs="Times New Roman"/>
          <w:b/>
          <w:bCs/>
          <w:color w:val="17365D" w:themeColor="text2" w:themeShade="BF"/>
          <w:spacing w:val="-15"/>
          <w:sz w:val="18"/>
          <w:szCs w:val="18"/>
        </w:rPr>
        <w:t>nterests</w:t>
      </w:r>
    </w:p>
    <w:bookmarkEnd w:id="0"/>
    <w:p w:rsidR="000A09C3" w:rsidRPr="000A09C3" w:rsidRDefault="000A09C3" w:rsidP="00702579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0A09C3">
        <w:rPr>
          <w:rFonts w:ascii="Verdana" w:hAnsi="Verdana" w:cs="Times New Roman"/>
          <w:color w:val="000000"/>
          <w:sz w:val="17"/>
          <w:szCs w:val="17"/>
        </w:rPr>
        <w:t>Public law: especially from a theoretical or a historical and comparative perspective. Legal history: especially the development of public law.</w:t>
      </w:r>
    </w:p>
    <w:p w:rsidR="000A09C3" w:rsidRDefault="000A09C3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2F4771"/>
          <w:spacing w:val="-15"/>
          <w:sz w:val="18"/>
          <w:szCs w:val="18"/>
        </w:rPr>
      </w:pPr>
    </w:p>
    <w:p w:rsidR="000A09C3" w:rsidRDefault="000A09C3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2F4771"/>
          <w:spacing w:val="-15"/>
          <w:sz w:val="18"/>
          <w:szCs w:val="18"/>
        </w:rPr>
      </w:pPr>
    </w:p>
    <w:p w:rsidR="00702579" w:rsidRDefault="00702579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17365D" w:themeColor="text2" w:themeShade="BF"/>
          <w:spacing w:val="-15"/>
          <w:sz w:val="18"/>
          <w:szCs w:val="18"/>
        </w:rPr>
      </w:pPr>
    </w:p>
    <w:p w:rsidR="000A09C3" w:rsidRPr="00702579" w:rsidRDefault="000A09C3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17365D" w:themeColor="text2" w:themeShade="BF"/>
          <w:spacing w:val="-15"/>
          <w:sz w:val="18"/>
          <w:szCs w:val="18"/>
        </w:rPr>
      </w:pPr>
      <w:r w:rsidRPr="00702579">
        <w:rPr>
          <w:rFonts w:ascii="Verdana" w:eastAsia="Times New Roman" w:hAnsi="Verdana" w:cs="Times New Roman"/>
          <w:b/>
          <w:bCs/>
          <w:color w:val="17365D" w:themeColor="text2" w:themeShade="BF"/>
          <w:spacing w:val="-15"/>
          <w:sz w:val="18"/>
          <w:szCs w:val="18"/>
        </w:rPr>
        <w:t>Lecturing &amp; Supervising</w:t>
      </w:r>
    </w:p>
    <w:p w:rsidR="00702579" w:rsidRDefault="00702579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</w:pPr>
    </w:p>
    <w:p w:rsidR="000A09C3" w:rsidRPr="000A09C3" w:rsidRDefault="000A09C3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</w:pPr>
      <w:proofErr w:type="spellStart"/>
      <w:r w:rsidRPr="000A09C3"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  <w:t>Tripos</w:t>
      </w:r>
      <w:proofErr w:type="spellEnd"/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1" name="Picture 1" descr="http://www.law.cam.ac.uk/images/icon_subject_tau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w.cam.ac.uk/images/icon_subject_taugh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9B4" w:rsidRPr="001D69B4">
        <w:rPr>
          <w:rFonts w:ascii="Verdana" w:hAnsi="Verdana" w:cs="Times New Roman"/>
          <w:color w:val="000000"/>
          <w:sz w:val="17"/>
          <w:szCs w:val="17"/>
        </w:rPr>
        <w:t>Lectures Constitutional Law and Topics in European Legal History (Half Paper</w:t>
      </w:r>
      <w:proofErr w:type="gramStart"/>
      <w:r w:rsidR="001D69B4" w:rsidRPr="001D69B4">
        <w:rPr>
          <w:rFonts w:ascii="Verdana" w:hAnsi="Verdana" w:cs="Times New Roman"/>
          <w:color w:val="000000"/>
          <w:sz w:val="17"/>
          <w:szCs w:val="17"/>
        </w:rPr>
        <w:t>)</w:t>
      </w:r>
      <w:proofErr w:type="gramEnd"/>
      <w:r w:rsidR="001D69B4">
        <w:rPr>
          <w:rFonts w:eastAsia="Times New Roman"/>
        </w:rPr>
        <w:br/>
      </w: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2" name="Picture 2" descr="http://www.law.cam.ac.uk/images/icon_subject_tau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w.cam.ac.uk/images/icon_subject_taugh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Supervises</w:t>
      </w:r>
      <w:r>
        <w:rPr>
          <w:rFonts w:ascii="Verdana" w:hAnsi="Verdana" w:cs="Times New Roman"/>
          <w:color w:val="000000"/>
          <w:sz w:val="17"/>
          <w:szCs w:val="17"/>
        </w:rPr>
        <w:t xml:space="preserve"> Civil Law I and Constitutional Law</w:t>
      </w:r>
    </w:p>
    <w:p w:rsidR="00702579" w:rsidRDefault="00702579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</w:pPr>
    </w:p>
    <w:p w:rsidR="000A09C3" w:rsidRPr="000A09C3" w:rsidRDefault="000A09C3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</w:pPr>
      <w:r w:rsidRPr="000A09C3"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  <w:t>LLM</w:t>
      </w:r>
    </w:p>
    <w:p w:rsidR="000A09C3" w:rsidRPr="001D69B4" w:rsidRDefault="001D69B4" w:rsidP="001D69B4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1D69B4">
        <w:rPr>
          <w:rFonts w:ascii="Verdana" w:hAnsi="Verdana" w:cs="Times New Roman"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30" name="Picture 2" descr="http://www.law.cam.ac.uk/images/icon_subject_tau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w.cam.ac.uk/images/icon_subject_taugh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9B4">
        <w:rPr>
          <w:rFonts w:ascii="Verdana" w:hAnsi="Verdana" w:cs="Times New Roman"/>
          <w:color w:val="000000"/>
          <w:sz w:val="17"/>
          <w:szCs w:val="17"/>
        </w:rPr>
        <w:t>Lectures and supervises Public Law (convenes LLM Thesis Seminar)</w:t>
      </w:r>
    </w:p>
    <w:p w:rsidR="001D69B4" w:rsidRPr="001D69B4" w:rsidRDefault="001D69B4" w:rsidP="001D69B4">
      <w:pPr>
        <w:pStyle w:val="ListParagraph"/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</w:p>
    <w:p w:rsidR="000A09C3" w:rsidRPr="00702579" w:rsidRDefault="000A09C3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17365D" w:themeColor="text2" w:themeShade="BF"/>
          <w:spacing w:val="-15"/>
          <w:sz w:val="18"/>
          <w:szCs w:val="18"/>
        </w:rPr>
      </w:pPr>
      <w:r w:rsidRPr="00702579">
        <w:rPr>
          <w:rFonts w:ascii="Verdana" w:eastAsia="Times New Roman" w:hAnsi="Verdana" w:cs="Times New Roman"/>
          <w:b/>
          <w:bCs/>
          <w:color w:val="17365D" w:themeColor="text2" w:themeShade="BF"/>
          <w:spacing w:val="-15"/>
          <w:sz w:val="18"/>
          <w:szCs w:val="18"/>
        </w:rPr>
        <w:t>Publications</w:t>
      </w:r>
    </w:p>
    <w:p w:rsidR="00702579" w:rsidRDefault="00702579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</w:pPr>
    </w:p>
    <w:p w:rsidR="000A09C3" w:rsidRPr="000A09C3" w:rsidRDefault="000A09C3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</w:pPr>
      <w:r w:rsidRPr="000A09C3"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  <w:t>Books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4" name="Picture 4" descr="ublication 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blication 39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A. V. Dicey, The Law of the Constitution,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hbk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>. (Ed) (Oxford University Press, 2013)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5" name="Picture 5" descr="ublication 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blication 39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A. V. Dicey, Comparative Constitutionalism,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hbk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>. (Ed) (Oxford University Press, 2013)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6" name="Picture 6" descr="ublication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blication 13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The English Historical Constitution: Continuity, Change and European Effects, Cambridge University Press, 2007,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hbk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. </w:t>
      </w:r>
      <w:proofErr w:type="gramStart"/>
      <w:r w:rsidRPr="000A09C3">
        <w:rPr>
          <w:rFonts w:ascii="Verdana" w:hAnsi="Verdana" w:cs="Times New Roman"/>
          <w:color w:val="000000"/>
          <w:sz w:val="17"/>
          <w:szCs w:val="17"/>
        </w:rPr>
        <w:t>&amp;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pbk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>.</w:t>
      </w:r>
      <w:proofErr w:type="gram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(Cambridge University Press, 2007)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7" name="Picture 7" descr="ublication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blication 1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A Continental Distinction in the Common Law: A Historical and Comparative Perspective on English Public Law, revised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pbk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. </w:t>
      </w:r>
      <w:proofErr w:type="gramStart"/>
      <w:r w:rsidRPr="000A09C3">
        <w:rPr>
          <w:rFonts w:ascii="Verdana" w:hAnsi="Verdana" w:cs="Times New Roman"/>
          <w:color w:val="000000"/>
          <w:sz w:val="17"/>
          <w:szCs w:val="17"/>
        </w:rPr>
        <w:t>edition</w:t>
      </w:r>
      <w:proofErr w:type="gram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(Oxford University Press, 2000)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8" name="Picture 8" descr="ublication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blication 13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A Continental Distinction in the Common Law: A Historical and Comparative Perspective on English Public Law,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hbk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>. (Oxford University Press, 1996)</w:t>
      </w:r>
    </w:p>
    <w:p w:rsidR="00702579" w:rsidRDefault="00702579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</w:pPr>
    </w:p>
    <w:p w:rsidR="000A09C3" w:rsidRPr="000A09C3" w:rsidRDefault="000A09C3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</w:pPr>
      <w:r w:rsidRPr="000A09C3"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  <w:t>Articles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9" name="Picture 9" descr="ublication 3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blication 39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"History to Understand, and History to Reform, English Public Law" [2013] Cambridge Law Journal 526-557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10" name="Picture 10" descr="ublication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blication 11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"Revising the Statutes" (2008) Queens' College Record 10-12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11" name="Picture 11" descr="ublication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blication 13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"History in the 'Law of the Constitution'" (2007) 28 Journal of Legal History 263-282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12" name="Picture 12" descr="ublication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blication 13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"Variation of View on English Legal Distinctions between Public and Private" [2007] Cambridge Law Journal 698-711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203200" cy="203200"/>
            <wp:effectExtent l="0" t="0" r="0" b="0"/>
            <wp:docPr id="13" name="Picture 13" descr="ublication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blication 14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"The Procedural Reason for Judicial Restraint" a republication in P. Cane (ed.), Administrative Law, The International Library of Essays in Law and Legal Theory, 2nd Series, (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Ashgate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>, 2002) 83-104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14" name="Picture 14" descr="ublication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blication 14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"Cultural Divergence, the Separation of Powers and the Public-Private Divide" (1997) 9 European Review of Public Law 305-333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15" name="Picture 15" descr="ublication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blication 14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"The Procedural Reason for Judicial Restraint" [1994] Public Law 452-473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16" name="Picture 16" descr="ublication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blication 14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"Fuller's Analysis of Polycentric Disputes" [1994] Cambridge Law Journal 367-383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17" name="Picture 17" descr="ublication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blication 14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"In Search of Revolutionary Justice in South Africa" (1990) 18 International Journal of the Sociology of Law 409-428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18" name="Picture 18" descr="ublication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blication 14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"De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Linguae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etLegisAuctoritate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" [1985]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ResponsaMeridiana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1-7</w:t>
      </w:r>
    </w:p>
    <w:p w:rsidR="000A09C3" w:rsidRPr="000A09C3" w:rsidRDefault="000A09C3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</w:pPr>
      <w:r w:rsidRPr="000A09C3"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  <w:t>Book Chapters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19" name="Picture 19" descr="ublication 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blication 39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"An Introduction to the Historical Constitutionalism of the English Common Law" in D. Ehlers, H. Glaser and K.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Prokati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(Ed), Constitutionalism and Good Governance - Eastern and Western Perspectives (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Nomos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>, 2014), pp. 127-139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20" name="Picture 20" descr="ublication 3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blication 39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"The Spirits of the Constitution" in N.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Bamforth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and P. Leyland (Ed), Accountability in the Contemporary Constitution (Oxford University Press, 2013), pp. 27-56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21" name="Picture 21" descr="ublication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blication 14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"Public Law: English Common Law" in Stanley N. Katz (Ed), Oxford International Encyclopedia of Legal History (Oxford University Press, 2009), pp. 15-19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22" name="Picture 22" descr="ublication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blication 13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"The Separation of Powers in the Modern Period in England: Constitutional Principle or Customary Practice?" in H. van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Goethem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(Ed),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Gewoonte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en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Recht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(2002) XVI </w:t>
      </w:r>
      <w:proofErr w:type="spellStart"/>
      <w:proofErr w:type="gramStart"/>
      <w:r w:rsidRPr="000A09C3">
        <w:rPr>
          <w:rFonts w:ascii="Verdana" w:hAnsi="Verdana" w:cs="Times New Roman"/>
          <w:color w:val="000000"/>
          <w:sz w:val="17"/>
          <w:szCs w:val="17"/>
        </w:rPr>
        <w:t>IurisScriptaHistorica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,</w:t>
      </w:r>
      <w:proofErr w:type="gram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pp. 89-106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23" name="Picture 23" descr="ublication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blication 13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"The United Kingdom: Systems of Judicial Protection" in S.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Spiliotopoulos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(Ed), Towards Unified Judicial Protection of Citizens in Europe? (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Esperia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Publications, 2000), pp. 765-772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24" name="Picture 24" descr="ublication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blication 1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"Parliamentary Sovereignty, Europe and the Economy of the Common Law" in M.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Andenas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(Ed),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Liber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Amicorum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in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Honour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of Lord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Slynn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of Hadley: Judicial Review in International Perspective (Kluwer, 2000), pp. 177-194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25" name="Picture 25" descr="ublication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blication 14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"Legal Culture in Fuller's Analysis of Adjudication" in W. van der Burg &amp; W.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Witteveen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(Ed), Rediscovering Fuller: Essays on Implicit Law and Institutional Design (Amsterdam University Press, 1999), pp. 346-363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26" name="Picture 26" descr="ublication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blication 14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"Transplantation and Cross-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fertilisation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" in J.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Beatson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&amp; T.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Tridimas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(Ed), New Directions in European Public Law (Hart Publishing, 1998), pp. 169-182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27" name="Picture 27" descr="ublication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blication 14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>"Theoretical and Institutional Underpinnings of a Separate Administrative Law" in M Taggart (Ed), The Province of Administrative Law (Hart Publishing, 1997), pp. 71-89</w:t>
      </w:r>
    </w:p>
    <w:p w:rsidR="000A09C3" w:rsidRPr="000A09C3" w:rsidRDefault="000A09C3" w:rsidP="00702579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</w:pPr>
      <w:r w:rsidRPr="000A09C3">
        <w:rPr>
          <w:rFonts w:ascii="Verdana" w:eastAsia="Times New Roman" w:hAnsi="Verdana" w:cs="Times New Roman"/>
          <w:b/>
          <w:bCs/>
          <w:color w:val="444444"/>
          <w:spacing w:val="-15"/>
          <w:sz w:val="17"/>
          <w:szCs w:val="17"/>
        </w:rPr>
        <w:t>Book Reviews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28" name="Picture 28" descr="ublication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blication 13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"Review of 'The Idea of Public Law' by Martin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Loughlin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>" (2005) 68 Modern Law Review 344-348</w:t>
      </w:r>
    </w:p>
    <w:p w:rsidR="000A09C3" w:rsidRPr="000A09C3" w:rsidRDefault="000A09C3" w:rsidP="00702579">
      <w:pPr>
        <w:shd w:val="clear" w:color="auto" w:fill="FFFFFF"/>
        <w:spacing w:before="90" w:after="90" w:line="252" w:lineRule="atLeast"/>
        <w:jc w:val="both"/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203200" cy="203200"/>
            <wp:effectExtent l="0" t="0" r="0" b="0"/>
            <wp:docPr id="29" name="Picture 29" descr="ublication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blication 14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C3">
        <w:rPr>
          <w:rFonts w:ascii="Verdana" w:hAnsi="Verdana" w:cs="Times New Roman"/>
          <w:color w:val="000000"/>
          <w:sz w:val="17"/>
          <w:szCs w:val="17"/>
        </w:rPr>
        <w:t xml:space="preserve">"Review of 'An Historical Introduction to Western Constitutional Law' by R. C. van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Caenegem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" (1997) 65 </w:t>
      </w:r>
      <w:proofErr w:type="spellStart"/>
      <w:r w:rsidRPr="000A09C3">
        <w:rPr>
          <w:rFonts w:ascii="Verdana" w:hAnsi="Verdana" w:cs="Times New Roman"/>
          <w:color w:val="000000"/>
          <w:sz w:val="17"/>
          <w:szCs w:val="17"/>
        </w:rPr>
        <w:t>TijdschriftvoorRechtsgeschiedenis</w:t>
      </w:r>
      <w:proofErr w:type="spellEnd"/>
      <w:r w:rsidRPr="000A09C3">
        <w:rPr>
          <w:rFonts w:ascii="Verdana" w:hAnsi="Verdana" w:cs="Times New Roman"/>
          <w:color w:val="000000"/>
          <w:sz w:val="17"/>
          <w:szCs w:val="17"/>
        </w:rPr>
        <w:t xml:space="preserve"> 199-200</w:t>
      </w:r>
    </w:p>
    <w:p w:rsidR="008A7C1E" w:rsidRDefault="008A7C1E"/>
    <w:sectPr w:rsidR="008A7C1E" w:rsidSect="008E70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law.cam.ac.uk/images/icon_subject_taught.gif" style="width:12pt;height:12pt;visibility:visible;mso-wrap-style:square" o:bullet="t">
        <v:imagedata r:id="rId1" o:title="icon_subject_taught"/>
      </v:shape>
    </w:pict>
  </w:numPicBullet>
  <w:abstractNum w:abstractNumId="0">
    <w:nsid w:val="3D5F328E"/>
    <w:multiLevelType w:val="hybridMultilevel"/>
    <w:tmpl w:val="7FCAFFCC"/>
    <w:lvl w:ilvl="0" w:tplc="F462F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C4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C1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2C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44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4C4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94B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C95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8E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A09C3"/>
    <w:rsid w:val="000A09C3"/>
    <w:rsid w:val="001D69B4"/>
    <w:rsid w:val="005C27A5"/>
    <w:rsid w:val="00702579"/>
    <w:rsid w:val="008A7C1E"/>
    <w:rsid w:val="008E70B6"/>
    <w:rsid w:val="00B2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9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09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09C3"/>
  </w:style>
  <w:style w:type="paragraph" w:styleId="BalloonText">
    <w:name w:val="Balloon Text"/>
    <w:basedOn w:val="Normal"/>
    <w:link w:val="BalloonTextChar"/>
    <w:uiPriority w:val="99"/>
    <w:semiHidden/>
    <w:unhideWhenUsed/>
    <w:rsid w:val="000A09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C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9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09C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09C3"/>
  </w:style>
  <w:style w:type="paragraph" w:styleId="BalloonText">
    <w:name w:val="Balloon Text"/>
    <w:basedOn w:val="Normal"/>
    <w:link w:val="BalloonTextChar"/>
    <w:uiPriority w:val="99"/>
    <w:semiHidden/>
    <w:unhideWhenUsed/>
    <w:rsid w:val="000A09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C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9067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020138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6436732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96426944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665867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0801535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83507097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6556393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3576799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38903572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605075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4492936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988230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01292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30180776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05377382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2757361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7449743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3799299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05631630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97244377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7969638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4461907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5565681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2004817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898337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213340364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0403991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967682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3230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314946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1367101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2151725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3543291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7889824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1361183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1412716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6173924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99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286">
          <w:marLeft w:val="0"/>
          <w:marRight w:val="0"/>
          <w:marTop w:val="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50432597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72302210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  <w:div w:id="1764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790">
          <w:marLeft w:val="0"/>
          <w:marRight w:val="0"/>
          <w:marTop w:val="75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92919966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  <w:div w:id="120102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hyperlink" Target="mailto:jwfa1@cam.ac.uk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067D1-2EB6-1D49-8BB4-6A3196A3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3554</Characters>
  <Application>Microsoft Office Word</Application>
  <DocSecurity>0</DocSecurity>
  <Lines>29</Lines>
  <Paragraphs>8</Paragraphs>
  <ScaleCrop>false</ScaleCrop>
  <Company>Panteion University of Social and Political Science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Aikaterini-Paraskevi Karamanli</dc:creator>
  <cp:lastModifiedBy>Cheryl Novak</cp:lastModifiedBy>
  <cp:revision>2</cp:revision>
  <dcterms:created xsi:type="dcterms:W3CDTF">2016-07-18T09:18:00Z</dcterms:created>
  <dcterms:modified xsi:type="dcterms:W3CDTF">2016-07-18T09:18:00Z</dcterms:modified>
</cp:coreProperties>
</file>