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9EC" w:rsidRPr="002949EC" w:rsidRDefault="002949EC" w:rsidP="002949EC">
      <w:pPr>
        <w:shd w:val="clear" w:color="auto" w:fill="FFFFFF"/>
        <w:spacing w:after="300" w:line="346" w:lineRule="atLeast"/>
        <w:jc w:val="both"/>
        <w:outlineLvl w:val="0"/>
        <w:rPr>
          <w:rFonts w:ascii="Verdana" w:eastAsia="Times New Roman" w:hAnsi="Verdana" w:cs="Times New Roman"/>
          <w:color w:val="29A6C9"/>
          <w:kern w:val="36"/>
          <w:sz w:val="29"/>
          <w:szCs w:val="29"/>
        </w:rPr>
      </w:pPr>
      <w:r w:rsidRPr="002949EC">
        <w:rPr>
          <w:rFonts w:ascii="Verdana" w:eastAsia="Times New Roman" w:hAnsi="Verdana" w:cs="Times New Roman"/>
          <w:color w:val="29A6C9"/>
          <w:kern w:val="36"/>
          <w:sz w:val="29"/>
          <w:szCs w:val="29"/>
        </w:rPr>
        <w:t>Institute of Brand and Innovation Law</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00"/>
        <w:gridCol w:w="200"/>
        <w:gridCol w:w="6100"/>
      </w:tblGrid>
      <w:tr w:rsidR="002949EC" w:rsidRPr="002949EC" w:rsidTr="002949EC">
        <w:trPr>
          <w:trHeight w:val="440"/>
          <w:tblCellSpacing w:w="0" w:type="dxa"/>
        </w:trPr>
        <w:tc>
          <w:tcPr>
            <w:tcW w:w="2000" w:type="dxa"/>
            <w:vMerge w:val="restart"/>
            <w:shd w:val="clear" w:color="auto" w:fill="FFFFFF"/>
            <w:hideMark/>
          </w:tcPr>
          <w:p w:rsidR="002949EC" w:rsidRPr="002949EC" w:rsidRDefault="002949EC" w:rsidP="002949EC">
            <w:pPr>
              <w:spacing w:line="232" w:lineRule="atLeast"/>
              <w:jc w:val="both"/>
              <w:rPr>
                <w:rFonts w:ascii="Verdana" w:eastAsia="Times New Roman" w:hAnsi="Verdana" w:cs="Times New Roman"/>
                <w:color w:val="000000"/>
                <w:sz w:val="16"/>
                <w:szCs w:val="16"/>
              </w:rPr>
            </w:pPr>
            <w:r>
              <w:rPr>
                <w:rFonts w:ascii="Verdana" w:eastAsia="Times New Roman" w:hAnsi="Verdana" w:cs="Times New Roman"/>
                <w:noProof/>
                <w:color w:val="000000"/>
                <w:sz w:val="16"/>
                <w:szCs w:val="16"/>
              </w:rPr>
              <w:drawing>
                <wp:inline distT="0" distB="0" distL="0" distR="0" wp14:anchorId="7F275E63" wp14:editId="245CF906">
                  <wp:extent cx="1270000" cy="1727200"/>
                  <wp:effectExtent l="0" t="0" r="0" b="0"/>
                  <wp:docPr id="1" name="Picture 1" descr="oannis L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nnis Lian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727200"/>
                          </a:xfrm>
                          <a:prstGeom prst="rect">
                            <a:avLst/>
                          </a:prstGeom>
                          <a:noFill/>
                          <a:ln>
                            <a:noFill/>
                          </a:ln>
                        </pic:spPr>
                      </pic:pic>
                    </a:graphicData>
                  </a:graphic>
                </wp:inline>
              </w:drawing>
            </w:r>
          </w:p>
        </w:tc>
        <w:tc>
          <w:tcPr>
            <w:tcW w:w="0" w:type="auto"/>
            <w:shd w:val="clear" w:color="auto" w:fill="FFFFFF"/>
            <w:vAlign w:val="center"/>
            <w:hideMark/>
          </w:tcPr>
          <w:p w:rsidR="002949EC" w:rsidRPr="002949EC" w:rsidRDefault="002949EC" w:rsidP="002949EC">
            <w:pPr>
              <w:spacing w:line="232" w:lineRule="atLeast"/>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w:t>
            </w:r>
          </w:p>
        </w:tc>
        <w:tc>
          <w:tcPr>
            <w:tcW w:w="0" w:type="auto"/>
            <w:vMerge w:val="restart"/>
            <w:shd w:val="clear" w:color="auto" w:fill="FFFFFF"/>
            <w:hideMark/>
          </w:tcPr>
          <w:p w:rsidR="002949EC" w:rsidRPr="002949EC" w:rsidRDefault="002949EC" w:rsidP="002949EC">
            <w:pPr>
              <w:spacing w:before="150" w:after="300" w:line="232" w:lineRule="atLeast"/>
              <w:jc w:val="center"/>
              <w:rPr>
                <w:rFonts w:ascii="Verdana" w:hAnsi="Verdana" w:cs="Times New Roman"/>
                <w:color w:val="000000"/>
                <w:sz w:val="16"/>
                <w:szCs w:val="16"/>
              </w:rPr>
            </w:pPr>
            <w:bookmarkStart w:id="0" w:name="_GoBack"/>
            <w:r w:rsidRPr="002949EC">
              <w:rPr>
                <w:rFonts w:ascii="Verdana" w:hAnsi="Verdana" w:cs="Times New Roman"/>
                <w:b/>
                <w:bCs/>
                <w:color w:val="29A6C9"/>
                <w:sz w:val="16"/>
                <w:szCs w:val="16"/>
              </w:rPr>
              <w:t>IOANNIS LIANOS</w:t>
            </w:r>
            <w:bookmarkEnd w:id="0"/>
            <w:r w:rsidRPr="002949EC">
              <w:rPr>
                <w:rFonts w:ascii="Verdana" w:hAnsi="Verdana" w:cs="Times New Roman"/>
                <w:b/>
                <w:bCs/>
                <w:color w:val="29A6C9"/>
                <w:sz w:val="16"/>
                <w:szCs w:val="16"/>
              </w:rPr>
              <w:br/>
            </w:r>
            <w:r w:rsidRPr="002949EC">
              <w:rPr>
                <w:rFonts w:ascii="Verdana" w:hAnsi="Verdana" w:cs="Times New Roman"/>
                <w:color w:val="000000"/>
                <w:sz w:val="16"/>
                <w:szCs w:val="16"/>
              </w:rPr>
              <w:t>LL.M</w:t>
            </w:r>
            <w:proofErr w:type="gramStart"/>
            <w:r w:rsidRPr="002949EC">
              <w:rPr>
                <w:rFonts w:ascii="Verdana" w:hAnsi="Verdana" w:cs="Times New Roman"/>
                <w:color w:val="000000"/>
                <w:sz w:val="16"/>
                <w:szCs w:val="16"/>
              </w:rPr>
              <w:t>.(</w:t>
            </w:r>
            <w:proofErr w:type="gramEnd"/>
            <w:r w:rsidRPr="002949EC">
              <w:rPr>
                <w:rFonts w:ascii="Verdana" w:hAnsi="Verdana" w:cs="Times New Roman"/>
                <w:color w:val="000000"/>
                <w:sz w:val="16"/>
                <w:szCs w:val="16"/>
              </w:rPr>
              <w:t>D.E.A.) European Union law (1997); Ph.D-Doctorate in Law (2004), Univ. Strasbourg LL.M. Trade Regulation (2003), NYU Law; PhD prob. in Sociology (Emmanuel, Cantab); </w:t>
            </w:r>
            <w:r w:rsidRPr="002949EC">
              <w:rPr>
                <w:rFonts w:ascii="Verdana" w:hAnsi="Verdana" w:cs="Times New Roman"/>
                <w:color w:val="000000"/>
                <w:sz w:val="16"/>
                <w:szCs w:val="16"/>
              </w:rPr>
              <w:br/>
              <w:t>Qualified Advocate ( Athens ) &amp; ( Paris , n. p.), Lauréat, French Academy of Social Sciences.</w:t>
            </w:r>
            <w:r w:rsidRPr="002949EC">
              <w:rPr>
                <w:rFonts w:ascii="Verdana" w:hAnsi="Verdana" w:cs="Times New Roman"/>
                <w:color w:val="000000"/>
                <w:sz w:val="16"/>
                <w:szCs w:val="16"/>
              </w:rPr>
              <w:br/>
              <w:t>Professor in Competition Law and Economics</w:t>
            </w:r>
            <w:r w:rsidRPr="002949EC">
              <w:rPr>
                <w:rFonts w:ascii="Verdana" w:hAnsi="Verdana" w:cs="Times New Roman"/>
                <w:color w:val="000000"/>
                <w:sz w:val="16"/>
                <w:szCs w:val="16"/>
              </w:rPr>
              <w:br/>
            </w:r>
            <w:r w:rsidRPr="002949EC">
              <w:rPr>
                <w:rFonts w:ascii="Verdana" w:hAnsi="Verdana" w:cs="Times New Roman"/>
                <w:color w:val="000000"/>
                <w:sz w:val="16"/>
                <w:szCs w:val="16"/>
              </w:rPr>
              <w:br/>
              <w:t>Director, </w:t>
            </w:r>
            <w:hyperlink r:id="rId7" w:history="1">
              <w:r w:rsidRPr="002949EC">
                <w:rPr>
                  <w:rFonts w:ascii="Verdana" w:hAnsi="Verdana" w:cs="Times New Roman"/>
                  <w:color w:val="003399"/>
                  <w:sz w:val="16"/>
                  <w:szCs w:val="16"/>
                </w:rPr>
                <w:t>Centre for Law, Economics &amp; Society </w:t>
              </w:r>
            </w:hyperlink>
            <w:r w:rsidRPr="002949EC">
              <w:rPr>
                <w:rFonts w:ascii="Verdana" w:hAnsi="Verdana" w:cs="Times New Roman"/>
                <w:color w:val="000000"/>
                <w:sz w:val="16"/>
                <w:szCs w:val="16"/>
              </w:rPr>
              <w:br/>
              <w:t>Co-Director, </w:t>
            </w:r>
            <w:hyperlink r:id="rId8" w:history="1">
              <w:r w:rsidRPr="002949EC">
                <w:rPr>
                  <w:rFonts w:ascii="Verdana" w:hAnsi="Verdana" w:cs="Times New Roman"/>
                  <w:color w:val="003399"/>
                  <w:sz w:val="16"/>
                  <w:szCs w:val="16"/>
                </w:rPr>
                <w:t>Institute of Global Law</w:t>
              </w:r>
              <w:r w:rsidRPr="002949EC">
                <w:rPr>
                  <w:rFonts w:ascii="Verdana" w:hAnsi="Verdana" w:cs="Times New Roman"/>
                  <w:color w:val="003399"/>
                  <w:sz w:val="16"/>
                  <w:szCs w:val="16"/>
                </w:rPr>
                <w:br/>
              </w:r>
            </w:hyperlink>
            <w:r w:rsidRPr="002949EC">
              <w:rPr>
                <w:rFonts w:ascii="Verdana" w:hAnsi="Verdana" w:cs="Times New Roman"/>
                <w:color w:val="000000"/>
                <w:sz w:val="16"/>
                <w:szCs w:val="16"/>
              </w:rPr>
              <w:t>Associate Executive Director, </w:t>
            </w:r>
            <w:hyperlink r:id="rId9" w:history="1">
              <w:r w:rsidRPr="002949EC">
                <w:rPr>
                  <w:rFonts w:ascii="Verdana" w:hAnsi="Verdana" w:cs="Times New Roman"/>
                  <w:color w:val="003399"/>
                  <w:sz w:val="16"/>
                  <w:szCs w:val="16"/>
                </w:rPr>
                <w:t>Jevons Institute of Competition Law and Economics</w:t>
              </w:r>
            </w:hyperlink>
          </w:p>
          <w:p w:rsidR="002949EC" w:rsidRPr="002949EC" w:rsidRDefault="002949EC" w:rsidP="002949EC">
            <w:pPr>
              <w:spacing w:before="150" w:after="300" w:line="232" w:lineRule="atLeast"/>
              <w:jc w:val="both"/>
              <w:rPr>
                <w:rFonts w:ascii="Verdana" w:hAnsi="Verdana" w:cs="Times New Roman"/>
                <w:color w:val="000000"/>
                <w:sz w:val="16"/>
                <w:szCs w:val="16"/>
              </w:rPr>
            </w:pPr>
            <w:proofErr w:type="gramStart"/>
            <w:r w:rsidRPr="002949EC">
              <w:rPr>
                <w:rFonts w:ascii="Verdana" w:hAnsi="Verdana" w:cs="Times New Roman"/>
                <w:color w:val="29A6C9"/>
                <w:sz w:val="16"/>
                <w:szCs w:val="16"/>
              </w:rPr>
              <w:t>contact</w:t>
            </w:r>
            <w:proofErr w:type="gramEnd"/>
            <w:r w:rsidRPr="002949EC">
              <w:rPr>
                <w:rFonts w:ascii="Verdana" w:hAnsi="Verdana" w:cs="Times New Roman"/>
                <w:color w:val="29A6C9"/>
                <w:sz w:val="16"/>
                <w:szCs w:val="16"/>
              </w:rPr>
              <w:t xml:space="preserve"> details: </w:t>
            </w:r>
            <w:r w:rsidRPr="002949EC">
              <w:rPr>
                <w:rFonts w:ascii="Verdana" w:hAnsi="Verdana" w:cs="Times New Roman"/>
                <w:color w:val="000000"/>
                <w:sz w:val="16"/>
                <w:szCs w:val="16"/>
              </w:rPr>
              <w:br/>
              <w:t>Email: </w:t>
            </w:r>
            <w:hyperlink r:id="rId10" w:history="1">
              <w:r w:rsidRPr="002949EC">
                <w:rPr>
                  <w:rFonts w:ascii="Verdana" w:hAnsi="Verdana" w:cs="Times New Roman"/>
                  <w:color w:val="003399"/>
                  <w:sz w:val="16"/>
                  <w:szCs w:val="16"/>
                </w:rPr>
                <w:t>i.lianos@ucl.ac.uk</w:t>
              </w:r>
            </w:hyperlink>
            <w:r w:rsidRPr="002949EC">
              <w:rPr>
                <w:rFonts w:ascii="Verdana" w:hAnsi="Verdana" w:cs="Times New Roman"/>
                <w:color w:val="000000"/>
                <w:sz w:val="16"/>
                <w:szCs w:val="16"/>
              </w:rPr>
              <w:br/>
              <w:t>+44 (0)20 7679 1028 | internal: x21028</w:t>
            </w:r>
          </w:p>
        </w:tc>
      </w:tr>
      <w:tr w:rsidR="002949EC" w:rsidRPr="002949EC" w:rsidTr="002949EC">
        <w:trPr>
          <w:tblCellSpacing w:w="0" w:type="dxa"/>
        </w:trPr>
        <w:tc>
          <w:tcPr>
            <w:tcW w:w="0" w:type="auto"/>
            <w:vMerge/>
            <w:shd w:val="clear" w:color="auto" w:fill="FFFFFF"/>
            <w:vAlign w:val="center"/>
            <w:hideMark/>
          </w:tcPr>
          <w:p w:rsidR="002949EC" w:rsidRPr="002949EC" w:rsidRDefault="002949EC" w:rsidP="002949EC">
            <w:pPr>
              <w:jc w:val="both"/>
              <w:rPr>
                <w:rFonts w:ascii="Verdana" w:eastAsia="Times New Roman" w:hAnsi="Verdana" w:cs="Times New Roman"/>
                <w:color w:val="000000"/>
                <w:sz w:val="16"/>
                <w:szCs w:val="16"/>
              </w:rPr>
            </w:pPr>
          </w:p>
        </w:tc>
        <w:tc>
          <w:tcPr>
            <w:tcW w:w="200" w:type="dxa"/>
            <w:shd w:val="clear" w:color="auto" w:fill="FFFFFF"/>
            <w:vAlign w:val="center"/>
            <w:hideMark/>
          </w:tcPr>
          <w:p w:rsidR="002949EC" w:rsidRPr="002949EC" w:rsidRDefault="002949EC" w:rsidP="002949EC">
            <w:pPr>
              <w:spacing w:line="232" w:lineRule="atLeast"/>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w:t>
            </w:r>
          </w:p>
        </w:tc>
        <w:tc>
          <w:tcPr>
            <w:tcW w:w="0" w:type="auto"/>
            <w:vMerge/>
            <w:shd w:val="clear" w:color="auto" w:fill="FFFFFF"/>
            <w:vAlign w:val="center"/>
            <w:hideMark/>
          </w:tcPr>
          <w:p w:rsidR="002949EC" w:rsidRPr="002949EC" w:rsidRDefault="002949EC" w:rsidP="002949EC">
            <w:pPr>
              <w:jc w:val="both"/>
              <w:rPr>
                <w:rFonts w:ascii="Verdana" w:hAnsi="Verdana" w:cs="Times New Roman"/>
                <w:color w:val="000000"/>
                <w:sz w:val="16"/>
                <w:szCs w:val="16"/>
              </w:rPr>
            </w:pPr>
          </w:p>
        </w:tc>
      </w:tr>
    </w:tbl>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b/>
          <w:bCs/>
          <w:color w:val="29A6C9"/>
          <w:sz w:val="17"/>
          <w:szCs w:val="17"/>
        </w:rPr>
        <w:t>Profile</w:t>
      </w:r>
      <w:r w:rsidRPr="002949EC">
        <w:rPr>
          <w:rFonts w:ascii="Verdana" w:hAnsi="Verdana" w:cs="Times New Roman"/>
          <w:color w:val="000000"/>
          <w:sz w:val="17"/>
          <w:szCs w:val="17"/>
        </w:rPr>
        <w:br/>
        <w:t xml:space="preserve">Ioannis joined UCL in September 2005 and was promoted to Professor in 2014. Since September 2004, he has been a visiting Professor in competition and intellectual property law at the Centre for International Industrial Property Studies (CEIPI) of the University of </w:t>
      </w:r>
      <w:proofErr w:type="gramStart"/>
      <w:r w:rsidRPr="002949EC">
        <w:rPr>
          <w:rFonts w:ascii="Verdana" w:hAnsi="Verdana" w:cs="Times New Roman"/>
          <w:color w:val="000000"/>
          <w:sz w:val="17"/>
          <w:szCs w:val="17"/>
        </w:rPr>
        <w:t>Strasbourg .</w:t>
      </w:r>
      <w:proofErr w:type="gramEnd"/>
      <w:r w:rsidRPr="002949EC">
        <w:rPr>
          <w:rFonts w:ascii="Verdana" w:hAnsi="Verdana" w:cs="Times New Roman"/>
          <w:color w:val="000000"/>
          <w:sz w:val="17"/>
          <w:szCs w:val="17"/>
        </w:rPr>
        <w:t xml:space="preserve"> He was an Emile Noel Fellow at the Jean Monnet Centre at New York University School of Law in 2008-2009 where he worked on a funded project exploring issues of economic evidence and expertise in antitrust litigation in Europe and in the United </w:t>
      </w:r>
      <w:proofErr w:type="gramStart"/>
      <w:r w:rsidRPr="002949EC">
        <w:rPr>
          <w:rFonts w:ascii="Verdana" w:hAnsi="Verdana" w:cs="Times New Roman"/>
          <w:color w:val="000000"/>
          <w:sz w:val="17"/>
          <w:szCs w:val="17"/>
        </w:rPr>
        <w:t>States .</w:t>
      </w:r>
      <w:proofErr w:type="gramEnd"/>
      <w:r w:rsidRPr="002949EC">
        <w:rPr>
          <w:rFonts w:ascii="Verdana" w:hAnsi="Verdana" w:cs="Times New Roman"/>
          <w:color w:val="000000"/>
          <w:sz w:val="17"/>
          <w:szCs w:val="17"/>
        </w:rPr>
        <w:t xml:space="preserve"> Ioannis has also conducted funded research as a fellow of the Max Planck Institute for Comparative and International Private Law in </w:t>
      </w:r>
      <w:proofErr w:type="gramStart"/>
      <w:r w:rsidRPr="002949EC">
        <w:rPr>
          <w:rFonts w:ascii="Verdana" w:hAnsi="Verdana" w:cs="Times New Roman"/>
          <w:color w:val="000000"/>
          <w:sz w:val="17"/>
          <w:szCs w:val="17"/>
        </w:rPr>
        <w:t>Hamburg ,</w:t>
      </w:r>
      <w:proofErr w:type="gramEnd"/>
      <w:r w:rsidRPr="002949EC">
        <w:rPr>
          <w:rFonts w:ascii="Verdana" w:hAnsi="Verdana" w:cs="Times New Roman"/>
          <w:color w:val="000000"/>
          <w:sz w:val="17"/>
          <w:szCs w:val="17"/>
        </w:rPr>
        <w:t xml:space="preserve"> Germany . He was a visiting scholar at the University of </w:t>
      </w:r>
      <w:proofErr w:type="gramStart"/>
      <w:r w:rsidRPr="002949EC">
        <w:rPr>
          <w:rFonts w:ascii="Verdana" w:hAnsi="Verdana" w:cs="Times New Roman"/>
          <w:color w:val="000000"/>
          <w:sz w:val="17"/>
          <w:szCs w:val="17"/>
        </w:rPr>
        <w:t>California ,</w:t>
      </w:r>
      <w:proofErr w:type="gramEnd"/>
      <w:r w:rsidRPr="002949EC">
        <w:rPr>
          <w:rFonts w:ascii="Verdana" w:hAnsi="Verdana" w:cs="Times New Roman"/>
          <w:color w:val="000000"/>
          <w:sz w:val="17"/>
          <w:szCs w:val="17"/>
        </w:rPr>
        <w:t xml:space="preserve"> Berkeley in 2006. He has also lectured in various areas of European law and competition law at the University of Strasbourg in France and has held visiting appointments in competition and regulatory law at the University Paul Cézanne </w:t>
      </w:r>
      <w:proofErr w:type="gramStart"/>
      <w:r w:rsidRPr="002949EC">
        <w:rPr>
          <w:rFonts w:ascii="Verdana" w:hAnsi="Verdana" w:cs="Times New Roman"/>
          <w:color w:val="000000"/>
          <w:sz w:val="17"/>
          <w:szCs w:val="17"/>
        </w:rPr>
        <w:t>( Aix</w:t>
      </w:r>
      <w:proofErr w:type="gramEnd"/>
      <w:r w:rsidRPr="002949EC">
        <w:rPr>
          <w:rFonts w:ascii="Verdana" w:hAnsi="Verdana" w:cs="Times New Roman"/>
          <w:color w:val="000000"/>
          <w:sz w:val="17"/>
          <w:szCs w:val="17"/>
        </w:rPr>
        <w:t xml:space="preserve">-en Provence /Marseille) and the Centre for European Studies of the Ecole Nationale d'Administration (ENA). Besides academia, Ioannis has working experience at the European Court of Justice, the Federal Trade Commission </w:t>
      </w:r>
      <w:proofErr w:type="gramStart"/>
      <w:r w:rsidRPr="002949EC">
        <w:rPr>
          <w:rFonts w:ascii="Verdana" w:hAnsi="Verdana" w:cs="Times New Roman"/>
          <w:color w:val="000000"/>
          <w:sz w:val="17"/>
          <w:szCs w:val="17"/>
        </w:rPr>
        <w:t>( New</w:t>
      </w:r>
      <w:proofErr w:type="gramEnd"/>
      <w:r w:rsidRPr="002949EC">
        <w:rPr>
          <w:rFonts w:ascii="Verdana" w:hAnsi="Verdana" w:cs="Times New Roman"/>
          <w:color w:val="000000"/>
          <w:sz w:val="17"/>
          <w:szCs w:val="17"/>
        </w:rPr>
        <w:t xml:space="preserve"> York office) and is a qualified advocate at the Athens and Paris bars. He is a recipient of numerous awards, grants and scholarships.</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color w:val="000000"/>
          <w:sz w:val="17"/>
          <w:szCs w:val="17"/>
        </w:rPr>
        <w:t xml:space="preserve">Ioannis contributes widely to the global discussion in the area of competition law and policy. He is a Non-Governmental Advisor (NGA) at the International Competition Network (ICN), a Research partner with UNCTAD in Geneva and has also contributed to European Commission's consultations on damages. He has been elected a member of the international advisory board of the American Antitrust Institute in </w:t>
      </w:r>
      <w:proofErr w:type="gramStart"/>
      <w:r w:rsidRPr="002949EC">
        <w:rPr>
          <w:rFonts w:ascii="Verdana" w:hAnsi="Verdana" w:cs="Times New Roman"/>
          <w:color w:val="000000"/>
          <w:sz w:val="17"/>
          <w:szCs w:val="17"/>
        </w:rPr>
        <w:t>2010 ( </w:t>
      </w:r>
      <w:proofErr w:type="gramEnd"/>
      <w:r w:rsidRPr="002949EC">
        <w:rPr>
          <w:rFonts w:ascii="Verdana" w:hAnsi="Verdana" w:cs="Times New Roman"/>
          <w:color w:val="000000"/>
          <w:sz w:val="17"/>
          <w:szCs w:val="17"/>
        </w:rPr>
        <w:fldChar w:fldCharType="begin"/>
      </w:r>
      <w:r w:rsidRPr="002949EC">
        <w:rPr>
          <w:rFonts w:ascii="Verdana" w:hAnsi="Verdana" w:cs="Times New Roman"/>
          <w:color w:val="000000"/>
          <w:sz w:val="17"/>
          <w:szCs w:val="17"/>
        </w:rPr>
        <w:instrText xml:space="preserve"> HYPERLINK "http://www.antitrustinstitute.org/Archives/lianos_joins_board.ashx" </w:instrText>
      </w:r>
      <w:r w:rsidRPr="002949EC">
        <w:rPr>
          <w:rFonts w:ascii="Verdana" w:hAnsi="Verdana" w:cs="Times New Roman"/>
          <w:color w:val="000000"/>
          <w:sz w:val="17"/>
          <w:szCs w:val="17"/>
        </w:rPr>
      </w:r>
      <w:r w:rsidRPr="002949EC">
        <w:rPr>
          <w:rFonts w:ascii="Verdana" w:hAnsi="Verdana" w:cs="Times New Roman"/>
          <w:color w:val="000000"/>
          <w:sz w:val="17"/>
          <w:szCs w:val="17"/>
        </w:rPr>
        <w:fldChar w:fldCharType="separate"/>
      </w:r>
      <w:r w:rsidRPr="002949EC">
        <w:rPr>
          <w:rFonts w:ascii="Verdana" w:hAnsi="Verdana" w:cs="Times New Roman"/>
          <w:color w:val="003399"/>
          <w:sz w:val="17"/>
          <w:szCs w:val="17"/>
        </w:rPr>
        <w:t>http://www.antitrustinstitute.org/Archives/lianos_joins_board.ashx </w:t>
      </w:r>
      <w:r w:rsidRPr="002949EC">
        <w:rPr>
          <w:rFonts w:ascii="Verdana" w:hAnsi="Verdana" w:cs="Times New Roman"/>
          <w:color w:val="000000"/>
          <w:sz w:val="17"/>
          <w:szCs w:val="17"/>
        </w:rPr>
        <w:fldChar w:fldCharType="end"/>
      </w:r>
      <w:r w:rsidRPr="002949EC">
        <w:rPr>
          <w:rFonts w:ascii="Verdana" w:hAnsi="Verdana" w:cs="Times New Roman"/>
          <w:color w:val="000000"/>
          <w:sz w:val="17"/>
          <w:szCs w:val="17"/>
        </w:rPr>
        <w:t>) .</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color w:val="000000"/>
          <w:sz w:val="17"/>
          <w:szCs w:val="17"/>
        </w:rPr>
        <w:t>He is also the co- </w:t>
      </w:r>
      <w:hyperlink r:id="rId11" w:history="1">
        <w:r w:rsidRPr="002949EC">
          <w:rPr>
            <w:rFonts w:ascii="Verdana" w:hAnsi="Verdana" w:cs="Times New Roman"/>
            <w:color w:val="003399"/>
            <w:sz w:val="17"/>
            <w:szCs w:val="17"/>
          </w:rPr>
          <w:t>General Editor of the Global Competition Law and Economics Series, established by Stanford University Press, in June 2010</w:t>
        </w:r>
      </w:hyperlink>
      <w:r w:rsidRPr="002949EC">
        <w:rPr>
          <w:rFonts w:ascii="Verdana" w:hAnsi="Verdana" w:cs="Times New Roman"/>
          <w:color w:val="000000"/>
          <w:sz w:val="17"/>
          <w:szCs w:val="17"/>
        </w:rPr>
        <w:t>. He is the chairman of the Editorial Board of Competition Bulletin, Paris: </w:t>
      </w:r>
      <w:hyperlink r:id="rId12" w:history="1">
        <w:r w:rsidRPr="002949EC">
          <w:rPr>
            <w:rFonts w:ascii="Verdana" w:hAnsi="Verdana" w:cs="Times New Roman"/>
            <w:color w:val="003399"/>
            <w:sz w:val="17"/>
            <w:szCs w:val="17"/>
          </w:rPr>
          <w:t>http://www.concurrences.com </w:t>
        </w:r>
      </w:hyperlink>
      <w:r w:rsidRPr="002949EC">
        <w:rPr>
          <w:rFonts w:ascii="Verdana" w:hAnsi="Verdana" w:cs="Times New Roman"/>
          <w:color w:val="000000"/>
          <w:sz w:val="17"/>
          <w:szCs w:val="17"/>
        </w:rPr>
        <w:t>, the co-chairman of the advisory board of Antitrust Encyclopaedia, a Senior Editor of the Antitrust Chronicle, Boston, MA, USA (CPI), a member of the advisory board of Global Antitrust Review, London (GAR) and the chairman and executive director of the Institute of Competition Law Studies (IMEDIPA), Athens, Greece: </w:t>
      </w:r>
      <w:hyperlink r:id="rId13" w:history="1">
        <w:r w:rsidRPr="002949EC">
          <w:rPr>
            <w:rFonts w:ascii="Verdana" w:hAnsi="Verdana" w:cs="Times New Roman"/>
            <w:color w:val="003399"/>
            <w:sz w:val="17"/>
            <w:szCs w:val="17"/>
          </w:rPr>
          <w:t>http://www.imedipa.com</w:t>
        </w:r>
      </w:hyperlink>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color w:val="000000"/>
          <w:sz w:val="17"/>
          <w:szCs w:val="17"/>
        </w:rPr>
        <w:t xml:space="preserve">Ioannis has organized and conducted training for judges in competition law and economics in </w:t>
      </w:r>
      <w:proofErr w:type="gramStart"/>
      <w:r w:rsidRPr="002949EC">
        <w:rPr>
          <w:rFonts w:ascii="Verdana" w:hAnsi="Verdana" w:cs="Times New Roman"/>
          <w:color w:val="000000"/>
          <w:sz w:val="17"/>
          <w:szCs w:val="17"/>
        </w:rPr>
        <w:t>London ,</w:t>
      </w:r>
      <w:proofErr w:type="gramEnd"/>
      <w:r w:rsidRPr="002949EC">
        <w:rPr>
          <w:rFonts w:ascii="Verdana" w:hAnsi="Verdana" w:cs="Times New Roman"/>
          <w:color w:val="000000"/>
          <w:sz w:val="17"/>
          <w:szCs w:val="17"/>
        </w:rPr>
        <w:t xml:space="preserve"> Toulouse , Lisbon and Athens and has also organized international conferences on various aspects of competition law and policy at UCL and beyond.</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b/>
          <w:bCs/>
          <w:color w:val="29A6C9"/>
          <w:sz w:val="17"/>
          <w:szCs w:val="17"/>
        </w:rPr>
        <w:lastRenderedPageBreak/>
        <w:t>Research</w:t>
      </w:r>
      <w:r w:rsidRPr="002949EC">
        <w:rPr>
          <w:rFonts w:ascii="Verdana" w:hAnsi="Verdana" w:cs="Times New Roman"/>
          <w:color w:val="000000"/>
          <w:sz w:val="17"/>
          <w:szCs w:val="17"/>
        </w:rPr>
        <w:br/>
        <w:t>His primary research interest lies in comparative (EU, UK, French, US) competition law, international competition law, European Union law (internal market, external relations), comparative administrative and regulatory law (public-private partnerships, public utilities law, judicial review of economic regulation), law and economics, empirical legal studies and economic sociology.</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color w:val="000000"/>
          <w:sz w:val="17"/>
          <w:szCs w:val="17"/>
        </w:rPr>
        <w:t xml:space="preserve">His current work focuses on the emergence of forensic economics as an autonomous field and their impact on the evolution of economic science and on the law of evidence, more generally on economic evidence and expertise in the courts in the areas of competition law and IP law, innovation policy and the law (competition law in dynamic industries, IP rights), the law and economics of litigation in competition law, the law and economics of regulation (cost-benefit analysis/impact assessment, public private partnerships, judicial review of regulatory action), economic development and institutions, European integration theory. He has been the initiator and organizer of an international workshop on �trust/distrust and economic integration: the example of the European Internal Market� (recipient of a Modern Law Review conference grant) held at UCL and </w:t>
      </w:r>
      <w:proofErr w:type="gramStart"/>
      <w:r w:rsidRPr="002949EC">
        <w:rPr>
          <w:rFonts w:ascii="Verdana" w:hAnsi="Verdana" w:cs="Times New Roman"/>
          <w:color w:val="000000"/>
          <w:sz w:val="17"/>
          <w:szCs w:val="17"/>
        </w:rPr>
        <w:t>Cambridge ,</w:t>
      </w:r>
      <w:proofErr w:type="gramEnd"/>
      <w:r w:rsidRPr="002949EC">
        <w:rPr>
          <w:rFonts w:ascii="Verdana" w:hAnsi="Verdana" w:cs="Times New Roman"/>
          <w:color w:val="000000"/>
          <w:sz w:val="17"/>
          <w:szCs w:val="17"/>
        </w:rPr>
        <w:t xml:space="preserve"> which advances an innovative perspective on European integration and more broadly all projects of economic integration.</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color w:val="000000"/>
          <w:sz w:val="17"/>
          <w:szCs w:val="17"/>
        </w:rPr>
        <w:t xml:space="preserve">His book on �The transformation of competition law by economic analysis of law� (in French) (Bruylant/Sakkoulas) has been awarded two national prizes: (1) the Emile Girardeau prize of the French Academy of Social Sciences </w:t>
      </w:r>
      <w:proofErr w:type="gramStart"/>
      <w:r w:rsidRPr="002949EC">
        <w:rPr>
          <w:rFonts w:ascii="Verdana" w:hAnsi="Verdana" w:cs="Times New Roman"/>
          <w:color w:val="000000"/>
          <w:sz w:val="17"/>
          <w:szCs w:val="17"/>
        </w:rPr>
        <w:t>( Académie</w:t>
      </w:r>
      <w:proofErr w:type="gramEnd"/>
      <w:r w:rsidRPr="002949EC">
        <w:rPr>
          <w:rFonts w:ascii="Verdana" w:hAnsi="Verdana" w:cs="Times New Roman"/>
          <w:color w:val="000000"/>
          <w:sz w:val="17"/>
          <w:szCs w:val="17"/>
        </w:rPr>
        <w:t xml:space="preserve"> des Sciences Morales et Politiques ), a PhD prize compensating a work on the relation between economics and other social sciences and (2) a PhD prize from the French Institute of Competition Law (Concurrences) in 2005 (second prize).</w:t>
      </w:r>
    </w:p>
    <w:p w:rsidR="002949EC" w:rsidRPr="002949EC" w:rsidRDefault="002949EC" w:rsidP="002949EC">
      <w:pPr>
        <w:jc w:val="both"/>
        <w:rPr>
          <w:rFonts w:ascii="Times" w:eastAsia="Times New Roman" w:hAnsi="Times" w:cs="Times New Roman"/>
          <w:sz w:val="20"/>
          <w:szCs w:val="20"/>
        </w:rPr>
      </w:pPr>
      <w:r w:rsidRPr="002949EC">
        <w:rPr>
          <w:rFonts w:ascii="Verdana" w:eastAsia="Times New Roman" w:hAnsi="Verdana" w:cs="Times New Roman"/>
          <w:color w:val="000000"/>
          <w:sz w:val="17"/>
          <w:szCs w:val="17"/>
          <w:shd w:val="clear" w:color="auto" w:fill="FFFFFF"/>
        </w:rPr>
        <w:t>Ioannis maintains a personal website at academia.edu. </w:t>
      </w:r>
      <w:hyperlink r:id="rId14" w:history="1">
        <w:r w:rsidRPr="002949EC">
          <w:rPr>
            <w:rFonts w:ascii="Verdana" w:eastAsia="Times New Roman" w:hAnsi="Verdana" w:cs="Times New Roman"/>
            <w:color w:val="003399"/>
            <w:sz w:val="17"/>
            <w:szCs w:val="17"/>
            <w:shd w:val="clear" w:color="auto" w:fill="FFFFFF"/>
          </w:rPr>
          <w:t>http://ucl.academia.edu/IoannisLianos </w:t>
        </w:r>
      </w:hyperlink>
      <w:r w:rsidRPr="002949EC">
        <w:rPr>
          <w:rFonts w:ascii="Verdana" w:eastAsia="Times New Roman" w:hAnsi="Verdana" w:cs="Times New Roman"/>
          <w:color w:val="000000"/>
          <w:sz w:val="17"/>
          <w:szCs w:val="17"/>
          <w:shd w:val="clear" w:color="auto" w:fill="FFFFFF"/>
        </w:rPr>
        <w:t>and at the SSRN</w:t>
      </w:r>
      <w:hyperlink r:id="rId15" w:history="1">
        <w:r w:rsidRPr="002949EC">
          <w:rPr>
            <w:rFonts w:ascii="Verdana" w:eastAsia="Times New Roman" w:hAnsi="Verdana" w:cs="Times New Roman"/>
            <w:color w:val="003399"/>
            <w:sz w:val="17"/>
            <w:szCs w:val="17"/>
            <w:shd w:val="clear" w:color="auto" w:fill="FFFFFF"/>
          </w:rPr>
          <w:t>http://ucl.academia.edu/IoannisLianos</w:t>
        </w:r>
      </w:hyperlink>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b/>
          <w:bCs/>
          <w:color w:val="29A6C9"/>
          <w:sz w:val="17"/>
          <w:szCs w:val="17"/>
        </w:rPr>
        <w:t>Publications:</w:t>
      </w:r>
      <w:r w:rsidRPr="002949EC">
        <w:rPr>
          <w:rFonts w:ascii="Verdana" w:hAnsi="Verdana" w:cs="Times New Roman"/>
          <w:b/>
          <w:bCs/>
          <w:color w:val="29A6C9"/>
          <w:sz w:val="17"/>
          <w:szCs w:val="17"/>
        </w:rPr>
        <w:br/>
      </w:r>
      <w:r w:rsidRPr="002949EC">
        <w:rPr>
          <w:rFonts w:ascii="Verdana" w:hAnsi="Verdana" w:cs="Times New Roman"/>
          <w:color w:val="000000"/>
          <w:sz w:val="17"/>
          <w:szCs w:val="17"/>
        </w:rPr>
        <w:t>Selective Publications</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b/>
          <w:bCs/>
          <w:color w:val="000000"/>
          <w:sz w:val="17"/>
          <w:szCs w:val="17"/>
        </w:rPr>
        <w:t>Books:</w:t>
      </w:r>
    </w:p>
    <w:p w:rsidR="002949EC" w:rsidRPr="002949EC" w:rsidRDefault="002949EC" w:rsidP="002949EC">
      <w:pPr>
        <w:numPr>
          <w:ilvl w:val="0"/>
          <w:numId w:val="1"/>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La Transformation du droit de la concurrence par le recours à l'analyse </w:t>
      </w:r>
      <w:proofErr w:type="gramStart"/>
      <w:r w:rsidRPr="002949EC">
        <w:rPr>
          <w:rFonts w:ascii="Verdana" w:eastAsia="Times New Roman" w:hAnsi="Verdana" w:cs="Times New Roman"/>
          <w:color w:val="000000"/>
          <w:sz w:val="16"/>
          <w:szCs w:val="16"/>
        </w:rPr>
        <w:t>économique ,</w:t>
      </w:r>
      <w:proofErr w:type="gramEnd"/>
      <w:r w:rsidRPr="002949EC">
        <w:rPr>
          <w:rFonts w:ascii="Verdana" w:eastAsia="Times New Roman" w:hAnsi="Verdana" w:cs="Times New Roman"/>
          <w:color w:val="000000"/>
          <w:sz w:val="16"/>
          <w:szCs w:val="16"/>
        </w:rPr>
        <w:t xml:space="preserve"> Bruylant/Sakkoulas, Brussels/Athens, 05/2007, XIX+1698 pp. ISBN :   2-8027-2303-0 (prize-winning book : Emile Girardeau prize, French Academy of Social Sciences ; French Institute of Competition law prize (second) prize) </w:t>
      </w:r>
      <w:r w:rsidRPr="002949EC">
        <w:rPr>
          <w:rFonts w:ascii="Verdana" w:eastAsia="Times New Roman" w:hAnsi="Verdana" w:cs="Times New Roman"/>
          <w:i/>
          <w:iCs/>
          <w:color w:val="000000"/>
          <w:sz w:val="16"/>
          <w:szCs w:val="16"/>
        </w:rPr>
        <w:t>Selected Book reviews </w:t>
      </w:r>
      <w:r w:rsidRPr="002949EC">
        <w:rPr>
          <w:rFonts w:ascii="Verdana" w:eastAsia="Times New Roman" w:hAnsi="Verdana" w:cs="Times New Roman"/>
          <w:color w:val="000000"/>
          <w:sz w:val="16"/>
          <w:szCs w:val="16"/>
        </w:rPr>
        <w:t>: D. Waelbroeck, 30(3) </w:t>
      </w:r>
      <w:r w:rsidRPr="002949EC">
        <w:rPr>
          <w:rFonts w:ascii="Verdana" w:eastAsia="Times New Roman" w:hAnsi="Verdana" w:cs="Times New Roman"/>
          <w:i/>
          <w:iCs/>
          <w:color w:val="000000"/>
          <w:sz w:val="16"/>
          <w:szCs w:val="16"/>
        </w:rPr>
        <w:t>World Competition </w:t>
      </w:r>
      <w:r w:rsidRPr="002949EC">
        <w:rPr>
          <w:rFonts w:ascii="Verdana" w:eastAsia="Times New Roman" w:hAnsi="Verdana" w:cs="Times New Roman"/>
          <w:color w:val="000000"/>
          <w:sz w:val="16"/>
          <w:szCs w:val="16"/>
        </w:rPr>
        <w:t>533 (2007); A.L. Sibony, 3 </w:t>
      </w:r>
      <w:r w:rsidRPr="002949EC">
        <w:rPr>
          <w:rFonts w:ascii="Verdana" w:eastAsia="Times New Roman" w:hAnsi="Verdana" w:cs="Times New Roman"/>
          <w:i/>
          <w:iCs/>
          <w:color w:val="000000"/>
          <w:sz w:val="16"/>
          <w:szCs w:val="16"/>
        </w:rPr>
        <w:t>Concurrences </w:t>
      </w:r>
      <w:r w:rsidRPr="002949EC">
        <w:rPr>
          <w:rFonts w:ascii="Verdana" w:eastAsia="Times New Roman" w:hAnsi="Verdana" w:cs="Times New Roman"/>
          <w:color w:val="000000"/>
          <w:sz w:val="16"/>
          <w:szCs w:val="16"/>
        </w:rPr>
        <w:t>197-200 (2007); A. Komninos, CMLRev. (2008)</w:t>
      </w:r>
    </w:p>
    <w:p w:rsidR="002949EC" w:rsidRPr="002949EC" w:rsidRDefault="002949EC" w:rsidP="002949EC">
      <w:pPr>
        <w:numPr>
          <w:ilvl w:val="0"/>
          <w:numId w:val="2"/>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t>
      </w:r>
      <w:proofErr w:type="gramStart"/>
      <w:r w:rsidRPr="002949EC">
        <w:rPr>
          <w:rFonts w:ascii="Verdana" w:eastAsia="Times New Roman" w:hAnsi="Verdana" w:cs="Times New Roman"/>
          <w:color w:val="000000"/>
          <w:sz w:val="16"/>
          <w:szCs w:val="16"/>
        </w:rPr>
        <w:t>( with</w:t>
      </w:r>
      <w:proofErr w:type="gramEnd"/>
      <w:r w:rsidRPr="002949EC">
        <w:rPr>
          <w:rFonts w:ascii="Verdana" w:eastAsia="Times New Roman" w:hAnsi="Verdana" w:cs="Times New Roman"/>
          <w:color w:val="000000"/>
          <w:sz w:val="16"/>
          <w:szCs w:val="16"/>
        </w:rPr>
        <w:t xml:space="preserve"> Ioannis Kokkoris (contributing editors), The Reform of Greek and EC Competition Law (in Greek), Nomiki Bibliothiki, Athens , 2008, V+452 pp. ISBN : 978-960-272-559-7</w:t>
      </w:r>
    </w:p>
    <w:p w:rsidR="002949EC" w:rsidRPr="002949EC" w:rsidRDefault="002949EC" w:rsidP="002949EC">
      <w:pPr>
        <w:numPr>
          <w:ilvl w:val="0"/>
          <w:numId w:val="3"/>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t>
      </w:r>
      <w:proofErr w:type="gramStart"/>
      <w:r w:rsidRPr="002949EC">
        <w:rPr>
          <w:rFonts w:ascii="Verdana" w:eastAsia="Times New Roman" w:hAnsi="Verdana" w:cs="Times New Roman"/>
          <w:color w:val="000000"/>
          <w:sz w:val="16"/>
          <w:szCs w:val="16"/>
        </w:rPr>
        <w:t>( with</w:t>
      </w:r>
      <w:proofErr w:type="gramEnd"/>
      <w:r w:rsidRPr="002949EC">
        <w:rPr>
          <w:rFonts w:ascii="Verdana" w:eastAsia="Times New Roman" w:hAnsi="Verdana" w:cs="Times New Roman"/>
          <w:color w:val="000000"/>
          <w:sz w:val="16"/>
          <w:szCs w:val="16"/>
        </w:rPr>
        <w:t xml:space="preserve"> Ioannis Kokkoris) (contributing editors), The Reform of EC Competition Law: New challenges , Kluwer International, The Hague, December 2009, xxxviii+578 pp, ISBN 904-112-692-9 .</w:t>
      </w:r>
    </w:p>
    <w:p w:rsidR="002949EC" w:rsidRPr="002949EC" w:rsidRDefault="002949EC" w:rsidP="002949EC">
      <w:pPr>
        <w:numPr>
          <w:ilvl w:val="0"/>
          <w:numId w:val="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t>
      </w:r>
      <w:proofErr w:type="gramStart"/>
      <w:r w:rsidRPr="002949EC">
        <w:rPr>
          <w:rFonts w:ascii="Verdana" w:eastAsia="Times New Roman" w:hAnsi="Verdana" w:cs="Times New Roman"/>
          <w:color w:val="000000"/>
          <w:sz w:val="16"/>
          <w:szCs w:val="16"/>
        </w:rPr>
        <w:t>( with</w:t>
      </w:r>
      <w:proofErr w:type="gramEnd"/>
      <w:r w:rsidRPr="002949EC">
        <w:rPr>
          <w:rFonts w:ascii="Verdana" w:eastAsia="Times New Roman" w:hAnsi="Verdana" w:cs="Times New Roman"/>
          <w:color w:val="000000"/>
          <w:sz w:val="16"/>
          <w:szCs w:val="16"/>
        </w:rPr>
        <w:t xml:space="preserve"> okeoghene Odudu, contributing editor), Regulating Trade in Services in the EU and the WTO: Trust, Distrust and Economic Integration , Cambridge University Press, forthcoming 2010</w:t>
      </w:r>
    </w:p>
    <w:p w:rsidR="002949EC" w:rsidRPr="002949EC" w:rsidRDefault="002949EC" w:rsidP="002949EC">
      <w:pPr>
        <w:numPr>
          <w:ilvl w:val="0"/>
          <w:numId w:val="5"/>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t>
      </w:r>
      <w:proofErr w:type="gramStart"/>
      <w:r w:rsidRPr="002949EC">
        <w:rPr>
          <w:rFonts w:ascii="Verdana" w:eastAsia="Times New Roman" w:hAnsi="Verdana" w:cs="Times New Roman"/>
          <w:color w:val="000000"/>
          <w:sz w:val="16"/>
          <w:szCs w:val="16"/>
        </w:rPr>
        <w:t>( with</w:t>
      </w:r>
      <w:proofErr w:type="gramEnd"/>
      <w:r w:rsidRPr="002949EC">
        <w:rPr>
          <w:rFonts w:ascii="Verdana" w:eastAsia="Times New Roman" w:hAnsi="Verdana" w:cs="Times New Roman"/>
          <w:color w:val="000000"/>
          <w:sz w:val="16"/>
          <w:szCs w:val="16"/>
        </w:rPr>
        <w:t xml:space="preserve"> Valentine Korah, co-author ), Cases and Materials in EU and UK Competition Law, Oxford , Hart Pub., forthcoming 2011</w:t>
      </w:r>
    </w:p>
    <w:p w:rsidR="002949EC" w:rsidRPr="002949EC" w:rsidRDefault="002949EC" w:rsidP="002949EC">
      <w:pPr>
        <w:numPr>
          <w:ilvl w:val="0"/>
          <w:numId w:val="6"/>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t>
      </w:r>
      <w:proofErr w:type="gramStart"/>
      <w:r w:rsidRPr="002949EC">
        <w:rPr>
          <w:rFonts w:ascii="Verdana" w:eastAsia="Times New Roman" w:hAnsi="Verdana" w:cs="Times New Roman"/>
          <w:color w:val="000000"/>
          <w:sz w:val="16"/>
          <w:szCs w:val="16"/>
        </w:rPr>
        <w:t>( with</w:t>
      </w:r>
      <w:proofErr w:type="gramEnd"/>
      <w:r w:rsidRPr="002949EC">
        <w:rPr>
          <w:rFonts w:ascii="Verdana" w:eastAsia="Times New Roman" w:hAnsi="Verdana" w:cs="Times New Roman"/>
          <w:color w:val="000000"/>
          <w:sz w:val="16"/>
          <w:szCs w:val="16"/>
        </w:rPr>
        <w:t xml:space="preserve"> Diamond Ashiagbor &amp; Nicola Countouris , contributing editors), The EU After the Lisbon Treaty , Cambridge University Press, forthcoming 2011.</w:t>
      </w:r>
    </w:p>
    <w:p w:rsidR="002949EC" w:rsidRPr="002949EC" w:rsidRDefault="002949EC" w:rsidP="002949EC">
      <w:pPr>
        <w:numPr>
          <w:ilvl w:val="0"/>
          <w:numId w:val="7"/>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(with Daniel </w:t>
      </w:r>
      <w:proofErr w:type="gramStart"/>
      <w:r w:rsidRPr="002949EC">
        <w:rPr>
          <w:rFonts w:ascii="Verdana" w:eastAsia="Times New Roman" w:hAnsi="Verdana" w:cs="Times New Roman"/>
          <w:color w:val="000000"/>
          <w:sz w:val="16"/>
          <w:szCs w:val="16"/>
        </w:rPr>
        <w:t>Sokol ,</w:t>
      </w:r>
      <w:proofErr w:type="gramEnd"/>
      <w:r w:rsidRPr="002949EC">
        <w:rPr>
          <w:rFonts w:ascii="Verdana" w:eastAsia="Times New Roman" w:hAnsi="Verdana" w:cs="Times New Roman"/>
          <w:color w:val="000000"/>
          <w:sz w:val="16"/>
          <w:szCs w:val="16"/>
        </w:rPr>
        <w:t xml:space="preserve"> contributing editors), The Limits of Competition law: A Global Perspective , Stanford University Press, forthcoming May 2011</w:t>
      </w:r>
    </w:p>
    <w:p w:rsidR="002949EC" w:rsidRPr="002949EC" w:rsidRDefault="002949EC" w:rsidP="002949EC">
      <w:pPr>
        <w:numPr>
          <w:ilvl w:val="0"/>
          <w:numId w:val="8"/>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t>
      </w:r>
      <w:proofErr w:type="gramStart"/>
      <w:r w:rsidRPr="002949EC">
        <w:rPr>
          <w:rFonts w:ascii="Verdana" w:eastAsia="Times New Roman" w:hAnsi="Verdana" w:cs="Times New Roman"/>
          <w:color w:val="000000"/>
          <w:sz w:val="16"/>
          <w:szCs w:val="16"/>
        </w:rPr>
        <w:t>( with</w:t>
      </w:r>
      <w:proofErr w:type="gramEnd"/>
      <w:r w:rsidRPr="002949EC">
        <w:rPr>
          <w:rFonts w:ascii="Verdana" w:eastAsia="Times New Roman" w:hAnsi="Verdana" w:cs="Times New Roman"/>
          <w:color w:val="000000"/>
          <w:sz w:val="16"/>
          <w:szCs w:val="16"/>
        </w:rPr>
        <w:t xml:space="preserve"> Antonio Capobianco, Assimakis Komninos, Ioannis Kokkoris), Competition Law Remedies , forthcoming, Hart Publishing, Oxford , 2011, 495 pp</w:t>
      </w:r>
    </w:p>
    <w:p w:rsidR="002949EC" w:rsidRPr="002949EC" w:rsidRDefault="002949EC" w:rsidP="002949EC">
      <w:pPr>
        <w:numPr>
          <w:ilvl w:val="0"/>
          <w:numId w:val="9"/>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(with Paolisa </w:t>
      </w:r>
      <w:proofErr w:type="gramStart"/>
      <w:r w:rsidRPr="002949EC">
        <w:rPr>
          <w:rFonts w:ascii="Verdana" w:eastAsia="Times New Roman" w:hAnsi="Verdana" w:cs="Times New Roman"/>
          <w:color w:val="000000"/>
          <w:sz w:val="16"/>
          <w:szCs w:val="16"/>
        </w:rPr>
        <w:t>Nebbia )</w:t>
      </w:r>
      <w:proofErr w:type="gramEnd"/>
      <w:r w:rsidRPr="002949EC">
        <w:rPr>
          <w:rFonts w:ascii="Verdana" w:eastAsia="Times New Roman" w:hAnsi="Verdana" w:cs="Times New Roman"/>
          <w:color w:val="000000"/>
          <w:sz w:val="16"/>
          <w:szCs w:val="16"/>
        </w:rPr>
        <w:t>, Private Enforcement of Competition Law in Europe: a Global perspective , Oxford : Oxford University Press, forthcoming 2011</w:t>
      </w:r>
    </w:p>
    <w:p w:rsidR="002949EC" w:rsidRPr="002949EC" w:rsidRDefault="002949EC" w:rsidP="002949EC">
      <w:pPr>
        <w:numPr>
          <w:ilvl w:val="0"/>
          <w:numId w:val="10"/>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t>
      </w:r>
      <w:proofErr w:type="gramStart"/>
      <w:r w:rsidRPr="002949EC">
        <w:rPr>
          <w:rFonts w:ascii="Verdana" w:eastAsia="Times New Roman" w:hAnsi="Verdana" w:cs="Times New Roman"/>
          <w:color w:val="000000"/>
          <w:sz w:val="16"/>
          <w:szCs w:val="16"/>
        </w:rPr>
        <w:t>( with</w:t>
      </w:r>
      <w:proofErr w:type="gramEnd"/>
      <w:r w:rsidRPr="002949EC">
        <w:rPr>
          <w:rFonts w:ascii="Verdana" w:eastAsia="Times New Roman" w:hAnsi="Verdana" w:cs="Times New Roman"/>
          <w:color w:val="000000"/>
          <w:sz w:val="16"/>
          <w:szCs w:val="16"/>
        </w:rPr>
        <w:t xml:space="preserve"> Damien Geradin), (contributing editor), Research Handbook in European Competition Law, Edward Elgar, forthcoming 2011</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b/>
          <w:bCs/>
          <w:color w:val="000000"/>
          <w:sz w:val="17"/>
          <w:szCs w:val="17"/>
        </w:rPr>
        <w:t>Chapters in books</w:t>
      </w:r>
    </w:p>
    <w:p w:rsidR="002949EC" w:rsidRPr="002949EC" w:rsidRDefault="002949EC" w:rsidP="002949EC">
      <w:pPr>
        <w:numPr>
          <w:ilvl w:val="0"/>
          <w:numId w:val="11"/>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Is the availability of �appropriate� remedies a limit to competition law liability under Article 102 TFEU? The mishiefs of �discretionary remedialism� in competition </w:t>
      </w:r>
      <w:proofErr w:type="gramStart"/>
      <w:r w:rsidRPr="002949EC">
        <w:rPr>
          <w:rFonts w:ascii="Verdana" w:eastAsia="Times New Roman" w:hAnsi="Verdana" w:cs="Times New Roman"/>
          <w:color w:val="000000"/>
          <w:sz w:val="16"/>
          <w:szCs w:val="16"/>
        </w:rPr>
        <w:t>law ,</w:t>
      </w:r>
      <w:proofErr w:type="gramEnd"/>
      <w:r w:rsidRPr="002949EC">
        <w:rPr>
          <w:rFonts w:ascii="Verdana" w:eastAsia="Times New Roman" w:hAnsi="Verdana" w:cs="Times New Roman"/>
          <w:color w:val="000000"/>
          <w:sz w:val="16"/>
          <w:szCs w:val="16"/>
        </w:rPr>
        <w:t xml:space="preserve"> in F. Etro &amp; I. Kokkoris (ed.), Competition Law and the Enforcement of Article 82 , Oxford : Oxford University Press, 2010, pp. 165-202.</w:t>
      </w:r>
    </w:p>
    <w:p w:rsidR="002949EC" w:rsidRPr="002949EC" w:rsidRDefault="002949EC" w:rsidP="002949EC">
      <w:pPr>
        <w:numPr>
          <w:ilvl w:val="0"/>
          <w:numId w:val="12"/>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(with Nicholas Economides), The Quest for Appropriate Remedies in the Microsoft Antitrust EU Cases: A Comparative Appraisal, in L. Rubini (ed.), Microsoft on </w:t>
      </w:r>
      <w:proofErr w:type="gramStart"/>
      <w:r w:rsidRPr="002949EC">
        <w:rPr>
          <w:rFonts w:ascii="Verdana" w:eastAsia="Times New Roman" w:hAnsi="Verdana" w:cs="Times New Roman"/>
          <w:color w:val="000000"/>
          <w:sz w:val="16"/>
          <w:szCs w:val="16"/>
        </w:rPr>
        <w:t>Trial :</w:t>
      </w:r>
      <w:proofErr w:type="gramEnd"/>
      <w:r w:rsidRPr="002949EC">
        <w:rPr>
          <w:rFonts w:ascii="Verdana" w:eastAsia="Times New Roman" w:hAnsi="Verdana" w:cs="Times New Roman"/>
          <w:color w:val="000000"/>
          <w:sz w:val="16"/>
          <w:szCs w:val="16"/>
        </w:rPr>
        <w:t xml:space="preserve"> Legal and Economic Analysis of a Transatlantic Antitrust Case, Edward Elgar, 2010, pp. 393-463</w:t>
      </w:r>
    </w:p>
    <w:p w:rsidR="002949EC" w:rsidRPr="002949EC" w:rsidRDefault="002949EC" w:rsidP="002949EC">
      <w:pPr>
        <w:numPr>
          <w:ilvl w:val="0"/>
          <w:numId w:val="13"/>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�Judging Economists�: Economic expertise in competition litigation: a European view, in Ioannis Lianos &amp; Ioannis Kokkoris (ed.), Towards an Optimal Competition law </w:t>
      </w:r>
      <w:proofErr w:type="gramStart"/>
      <w:r w:rsidRPr="002949EC">
        <w:rPr>
          <w:rFonts w:ascii="Verdana" w:eastAsia="Times New Roman" w:hAnsi="Verdana" w:cs="Times New Roman"/>
          <w:color w:val="000000"/>
          <w:sz w:val="16"/>
          <w:szCs w:val="16"/>
        </w:rPr>
        <w:t>System ,</w:t>
      </w:r>
      <w:proofErr w:type="gramEnd"/>
      <w:r w:rsidRPr="002949EC">
        <w:rPr>
          <w:rFonts w:ascii="Verdana" w:eastAsia="Times New Roman" w:hAnsi="Verdana" w:cs="Times New Roman"/>
          <w:color w:val="000000"/>
          <w:sz w:val="16"/>
          <w:szCs w:val="16"/>
        </w:rPr>
        <w:t xml:space="preserve"> Kluwer International, The Hague , 2009, pp. 185-320</w:t>
      </w:r>
    </w:p>
    <w:p w:rsidR="002949EC" w:rsidRPr="002949EC" w:rsidRDefault="002949EC" w:rsidP="002949EC">
      <w:pPr>
        <w:numPr>
          <w:ilvl w:val="0"/>
          <w:numId w:val="1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Transplants économiques en droit communautaire et le paradigme de la </w:t>
      </w:r>
      <w:proofErr w:type="gramStart"/>
      <w:r w:rsidRPr="002949EC">
        <w:rPr>
          <w:rFonts w:ascii="Verdana" w:eastAsia="Times New Roman" w:hAnsi="Verdana" w:cs="Times New Roman"/>
          <w:color w:val="000000"/>
          <w:sz w:val="16"/>
          <w:szCs w:val="16"/>
        </w:rPr>
        <w:t>traduction :</w:t>
      </w:r>
      <w:proofErr w:type="gramEnd"/>
      <w:r w:rsidRPr="002949EC">
        <w:rPr>
          <w:rFonts w:ascii="Verdana" w:eastAsia="Times New Roman" w:hAnsi="Verdana" w:cs="Times New Roman"/>
          <w:color w:val="000000"/>
          <w:sz w:val="16"/>
          <w:szCs w:val="16"/>
        </w:rPr>
        <w:t xml:space="preserve"> une approche paradigmatique, in Antoine Bayeux, Yves Cartuyvels, Hugues Dumont &amp; François Ost, Traduction et Droits Européens : Enjeux d'une Rencontre Publications des Facultés universitaires Saint-Louis, Brussels, 2009, pp. 355-385.</w:t>
      </w:r>
    </w:p>
    <w:p w:rsidR="002949EC" w:rsidRPr="002949EC" w:rsidRDefault="002949EC" w:rsidP="002949EC">
      <w:pPr>
        <w:numPr>
          <w:ilvl w:val="0"/>
          <w:numId w:val="15"/>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Categorical thinking in competition law and the�effects-based� approach in Article 82 </w:t>
      </w:r>
      <w:proofErr w:type="gramStart"/>
      <w:r w:rsidRPr="002949EC">
        <w:rPr>
          <w:rFonts w:ascii="Verdana" w:eastAsia="Times New Roman" w:hAnsi="Verdana" w:cs="Times New Roman"/>
          <w:color w:val="000000"/>
          <w:sz w:val="16"/>
          <w:szCs w:val="16"/>
        </w:rPr>
        <w:t>EC ,</w:t>
      </w:r>
      <w:proofErr w:type="gramEnd"/>
      <w:r w:rsidRPr="002949EC">
        <w:rPr>
          <w:rFonts w:ascii="Verdana" w:eastAsia="Times New Roman" w:hAnsi="Verdana" w:cs="Times New Roman"/>
          <w:color w:val="000000"/>
          <w:sz w:val="16"/>
          <w:szCs w:val="16"/>
        </w:rPr>
        <w:t xml:space="preserve"> in Ariel Ezrachi (ed.), Article 82 EC � Reflections on its recent evolution (Oxford: Hart Pub. 2009), pp. 19-49.</w:t>
      </w:r>
    </w:p>
    <w:p w:rsidR="002949EC" w:rsidRPr="002949EC" w:rsidRDefault="002949EC" w:rsidP="002949EC">
      <w:pPr>
        <w:numPr>
          <w:ilvl w:val="0"/>
          <w:numId w:val="16"/>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The application of competition law to dual distribution </w:t>
      </w:r>
      <w:proofErr w:type="gramStart"/>
      <w:r w:rsidRPr="002949EC">
        <w:rPr>
          <w:rFonts w:ascii="Verdana" w:eastAsia="Times New Roman" w:hAnsi="Verdana" w:cs="Times New Roman"/>
          <w:color w:val="000000"/>
          <w:sz w:val="16"/>
          <w:szCs w:val="16"/>
        </w:rPr>
        <w:t>agreements :</w:t>
      </w:r>
      <w:proofErr w:type="gramEnd"/>
      <w:r w:rsidRPr="002949EC">
        <w:rPr>
          <w:rFonts w:ascii="Verdana" w:eastAsia="Times New Roman" w:hAnsi="Verdana" w:cs="Times New Roman"/>
          <w:color w:val="000000"/>
          <w:sz w:val="16"/>
          <w:szCs w:val="16"/>
        </w:rPr>
        <w:t xml:space="preserve"> a comparative perspective, in Ariel Ezrachi &amp; Ulf Bernitz (ed.), Private Labels, Brands and Competition policy ( Oxford : Oxford University Press, 2008), Chapter 8, pp. 161-186.</w:t>
      </w:r>
    </w:p>
    <w:p w:rsidR="002949EC" w:rsidRPr="002949EC" w:rsidRDefault="002949EC" w:rsidP="002949EC">
      <w:pPr>
        <w:numPr>
          <w:ilvl w:val="0"/>
          <w:numId w:val="17"/>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w:t>
      </w:r>
      <w:proofErr w:type="gramStart"/>
      <w:r w:rsidRPr="002949EC">
        <w:rPr>
          <w:rFonts w:ascii="Verdana" w:eastAsia="Times New Roman" w:hAnsi="Verdana" w:cs="Times New Roman"/>
          <w:color w:val="000000"/>
          <w:sz w:val="16"/>
          <w:szCs w:val="16"/>
        </w:rPr>
        <w:t>, ?a</w:t>
      </w:r>
      <w:proofErr w:type="gramEnd"/>
      <w:r w:rsidRPr="002949EC">
        <w:rPr>
          <w:rFonts w:ascii="Verdana" w:eastAsia="Times New Roman" w:hAnsi="Verdana" w:cs="Times New Roman"/>
          <w:color w:val="000000"/>
          <w:sz w:val="16"/>
          <w:szCs w:val="16"/>
        </w:rPr>
        <w:t>????�</w:t>
      </w:r>
      <w:proofErr w:type="gramStart"/>
      <w:r w:rsidRPr="002949EC">
        <w:rPr>
          <w:rFonts w:ascii="Verdana" w:eastAsia="Times New Roman" w:hAnsi="Verdana" w:cs="Times New Roman"/>
          <w:color w:val="000000"/>
          <w:sz w:val="16"/>
          <w:szCs w:val="16"/>
        </w:rPr>
        <w:t>?s</w:t>
      </w:r>
      <w:proofErr w:type="gramEnd"/>
      <w:r w:rsidRPr="002949EC">
        <w:rPr>
          <w:rFonts w:ascii="Verdana" w:eastAsia="Times New Roman" w:hAnsi="Verdana" w:cs="Times New Roman"/>
          <w:color w:val="000000"/>
          <w:sz w:val="16"/>
          <w:szCs w:val="16"/>
        </w:rPr>
        <w:t xml:space="preserve">? </w:t>
      </w:r>
      <w:proofErr w:type="gramStart"/>
      <w:r w:rsidRPr="002949EC">
        <w:rPr>
          <w:rFonts w:ascii="Verdana" w:eastAsia="Times New Roman" w:hAnsi="Verdana" w:cs="Times New Roman"/>
          <w:color w:val="000000"/>
          <w:sz w:val="16"/>
          <w:szCs w:val="16"/>
        </w:rPr>
        <w:t>?ata</w:t>
      </w:r>
      <w:proofErr w:type="gramEnd"/>
      <w:r w:rsidRPr="002949EC">
        <w:rPr>
          <w:rFonts w:ascii="Verdana" w:eastAsia="Times New Roman" w:hAnsi="Verdana" w:cs="Times New Roman"/>
          <w:color w:val="000000"/>
          <w:sz w:val="16"/>
          <w:szCs w:val="16"/>
        </w:rPr>
        <w:t>???</w:t>
      </w:r>
      <w:proofErr w:type="gramStart"/>
      <w:r w:rsidRPr="002949EC">
        <w:rPr>
          <w:rFonts w:ascii="Verdana" w:eastAsia="Times New Roman" w:hAnsi="Verdana" w:cs="Times New Roman"/>
          <w:color w:val="000000"/>
          <w:sz w:val="16"/>
          <w:szCs w:val="16"/>
        </w:rPr>
        <w:t>se</w:t>
      </w:r>
      <w:proofErr w:type="gramEnd"/>
      <w:r w:rsidRPr="002949EC">
        <w:rPr>
          <w:rFonts w:ascii="Verdana" w:eastAsia="Times New Roman" w:hAnsi="Verdana" w:cs="Times New Roman"/>
          <w:color w:val="000000"/>
          <w:sz w:val="16"/>
          <w:szCs w:val="16"/>
        </w:rPr>
        <w:t xml:space="preserve">?? </w:t>
      </w:r>
      <w:proofErr w:type="gramStart"/>
      <w:r w:rsidRPr="002949EC">
        <w:rPr>
          <w:rFonts w:ascii="Verdana" w:eastAsia="Times New Roman" w:hAnsi="Verdana" w:cs="Times New Roman"/>
          <w:color w:val="000000"/>
          <w:sz w:val="16"/>
          <w:szCs w:val="16"/>
        </w:rPr>
        <w:t>?esp</w:t>
      </w:r>
      <w:proofErr w:type="gramEnd"/>
      <w:r w:rsidRPr="002949EC">
        <w:rPr>
          <w:rFonts w:ascii="Verdana" w:eastAsia="Times New Roman" w:hAnsi="Verdana" w:cs="Times New Roman"/>
          <w:color w:val="000000"/>
          <w:sz w:val="16"/>
          <w:szCs w:val="16"/>
        </w:rPr>
        <w:t>????</w:t>
      </w:r>
      <w:proofErr w:type="gramStart"/>
      <w:r w:rsidRPr="002949EC">
        <w:rPr>
          <w:rFonts w:ascii="Verdana" w:eastAsia="Times New Roman" w:hAnsi="Verdana" w:cs="Times New Roman"/>
          <w:color w:val="000000"/>
          <w:sz w:val="16"/>
          <w:szCs w:val="16"/>
        </w:rPr>
        <w:t>sa</w:t>
      </w:r>
      <w:proofErr w:type="gramEnd"/>
      <w:r w:rsidRPr="002949EC">
        <w:rPr>
          <w:rFonts w:ascii="Verdana" w:eastAsia="Times New Roman" w:hAnsi="Verdana" w:cs="Times New Roman"/>
          <w:color w:val="000000"/>
          <w:sz w:val="16"/>
          <w:szCs w:val="16"/>
        </w:rPr>
        <w:t>? T</w:t>
      </w:r>
      <w:proofErr w:type="gramStart"/>
      <w:r w:rsidRPr="002949EC">
        <w:rPr>
          <w:rFonts w:ascii="Verdana" w:eastAsia="Times New Roman" w:hAnsi="Verdana" w:cs="Times New Roman"/>
          <w:color w:val="000000"/>
          <w:sz w:val="16"/>
          <w:szCs w:val="16"/>
        </w:rPr>
        <w:t>?s</w:t>
      </w:r>
      <w:proofErr w:type="gramEnd"/>
      <w:r w:rsidRPr="002949EC">
        <w:rPr>
          <w:rFonts w:ascii="Verdana" w:eastAsia="Times New Roman" w:hAnsi="Verdana" w:cs="Times New Roman"/>
          <w:color w:val="000000"/>
          <w:sz w:val="16"/>
          <w:szCs w:val="16"/>
        </w:rPr>
        <w:t xml:space="preserve">?? </w:t>
      </w:r>
      <w:proofErr w:type="gramStart"/>
      <w:r w:rsidRPr="002949EC">
        <w:rPr>
          <w:rFonts w:ascii="Verdana" w:eastAsia="Times New Roman" w:hAnsi="Verdana" w:cs="Times New Roman"/>
          <w:color w:val="000000"/>
          <w:sz w:val="16"/>
          <w:szCs w:val="16"/>
        </w:rPr>
        <w:t>?at</w:t>
      </w:r>
      <w:proofErr w:type="gramEnd"/>
      <w:r w:rsidRPr="002949EC">
        <w:rPr>
          <w:rFonts w:ascii="Verdana" w:eastAsia="Times New Roman" w:hAnsi="Verdana" w:cs="Times New Roman"/>
          <w:color w:val="000000"/>
          <w:sz w:val="16"/>
          <w:szCs w:val="16"/>
        </w:rPr>
        <w:t xml:space="preserve">? </w:t>
      </w:r>
      <w:proofErr w:type="gramStart"/>
      <w:r w:rsidRPr="002949EC">
        <w:rPr>
          <w:rFonts w:ascii="Verdana" w:eastAsia="Times New Roman" w:hAnsi="Verdana" w:cs="Times New Roman"/>
          <w:color w:val="000000"/>
          <w:sz w:val="16"/>
          <w:szCs w:val="16"/>
        </w:rPr>
        <w:t>t</w:t>
      </w:r>
      <w:proofErr w:type="gramEnd"/>
      <w:r w:rsidRPr="002949EC">
        <w:rPr>
          <w:rFonts w:ascii="Verdana" w:eastAsia="Times New Roman" w:hAnsi="Verdana" w:cs="Times New Roman"/>
          <w:color w:val="000000"/>
          <w:sz w:val="16"/>
          <w:szCs w:val="16"/>
        </w:rPr>
        <w:t>?? ????</w:t>
      </w:r>
      <w:proofErr w:type="gramStart"/>
      <w:r w:rsidRPr="002949EC">
        <w:rPr>
          <w:rFonts w:ascii="Verdana" w:eastAsia="Times New Roman" w:hAnsi="Verdana" w:cs="Times New Roman"/>
          <w:color w:val="000000"/>
          <w:sz w:val="16"/>
          <w:szCs w:val="16"/>
        </w:rPr>
        <w:t>?a</w:t>
      </w:r>
      <w:proofErr w:type="gramEnd"/>
      <w:r w:rsidRPr="002949EC">
        <w:rPr>
          <w:rFonts w:ascii="Verdana" w:eastAsia="Times New Roman" w:hAnsi="Verdana" w:cs="Times New Roman"/>
          <w:color w:val="000000"/>
          <w:sz w:val="16"/>
          <w:szCs w:val="16"/>
        </w:rPr>
        <w:t xml:space="preserve"> t?? ?????? </w:t>
      </w:r>
      <w:proofErr w:type="gramStart"/>
      <w:r w:rsidRPr="002949EC">
        <w:rPr>
          <w:rFonts w:ascii="Verdana" w:eastAsia="Times New Roman" w:hAnsi="Verdana" w:cs="Times New Roman"/>
          <w:color w:val="000000"/>
          <w:sz w:val="16"/>
          <w:szCs w:val="16"/>
        </w:rPr>
        <w:t>82 ?</w:t>
      </w:r>
      <w:proofErr w:type="gramEnd"/>
      <w:r w:rsidRPr="002949EC">
        <w:rPr>
          <w:rFonts w:ascii="Verdana" w:eastAsia="Times New Roman" w:hAnsi="Verdana" w:cs="Times New Roman"/>
          <w:color w:val="000000"/>
          <w:sz w:val="16"/>
          <w:szCs w:val="16"/>
        </w:rPr>
        <w:t>?: ??</w:t>
      </w:r>
      <w:proofErr w:type="gramStart"/>
      <w:r w:rsidRPr="002949EC">
        <w:rPr>
          <w:rFonts w:ascii="Verdana" w:eastAsia="Times New Roman" w:hAnsi="Verdana" w:cs="Times New Roman"/>
          <w:color w:val="000000"/>
          <w:sz w:val="16"/>
          <w:szCs w:val="16"/>
        </w:rPr>
        <w:t>a</w:t>
      </w:r>
      <w:proofErr w:type="gramEnd"/>
      <w:r w:rsidRPr="002949EC">
        <w:rPr>
          <w:rFonts w:ascii="Verdana" w:eastAsia="Times New Roman" w:hAnsi="Verdana" w:cs="Times New Roman"/>
          <w:color w:val="000000"/>
          <w:sz w:val="16"/>
          <w:szCs w:val="16"/>
        </w:rPr>
        <w:t xml:space="preserve"> ???</w:t>
      </w:r>
      <w:proofErr w:type="gramStart"/>
      <w:r w:rsidRPr="002949EC">
        <w:rPr>
          <w:rFonts w:ascii="Verdana" w:eastAsia="Times New Roman" w:hAnsi="Verdana" w:cs="Times New Roman"/>
          <w:color w:val="000000"/>
          <w:sz w:val="16"/>
          <w:szCs w:val="16"/>
        </w:rPr>
        <w:t>t</w:t>
      </w:r>
      <w:proofErr w:type="gramEnd"/>
      <w:r w:rsidRPr="002949EC">
        <w:rPr>
          <w:rFonts w:ascii="Verdana" w:eastAsia="Times New Roman" w:hAnsi="Verdana" w:cs="Times New Roman"/>
          <w:color w:val="000000"/>
          <w:sz w:val="16"/>
          <w:szCs w:val="16"/>
        </w:rPr>
        <w:t>??? ??</w:t>
      </w:r>
      <w:proofErr w:type="gramStart"/>
      <w:r w:rsidRPr="002949EC">
        <w:rPr>
          <w:rFonts w:ascii="Verdana" w:eastAsia="Times New Roman" w:hAnsi="Verdana" w:cs="Times New Roman"/>
          <w:color w:val="000000"/>
          <w:sz w:val="16"/>
          <w:szCs w:val="16"/>
        </w:rPr>
        <w:t>?s</w:t>
      </w:r>
      <w:proofErr w:type="gramEnd"/>
      <w:r w:rsidRPr="002949EC">
        <w:rPr>
          <w:rFonts w:ascii="Verdana" w:eastAsia="Times New Roman" w:hAnsi="Verdana" w:cs="Times New Roman"/>
          <w:color w:val="000000"/>
          <w:sz w:val="16"/>
          <w:szCs w:val="16"/>
        </w:rPr>
        <w:t>????</w:t>
      </w:r>
      <w:proofErr w:type="gramStart"/>
      <w:r w:rsidRPr="002949EC">
        <w:rPr>
          <w:rFonts w:ascii="Verdana" w:eastAsia="Times New Roman" w:hAnsi="Verdana" w:cs="Times New Roman"/>
          <w:color w:val="000000"/>
          <w:sz w:val="16"/>
          <w:szCs w:val="16"/>
        </w:rPr>
        <w:t>s</w:t>
      </w:r>
      <w:proofErr w:type="gramEnd"/>
      <w:r w:rsidRPr="002949EC">
        <w:rPr>
          <w:rFonts w:ascii="Verdana" w:eastAsia="Times New Roman" w:hAnsi="Verdana" w:cs="Times New Roman"/>
          <w:color w:val="000000"/>
          <w:sz w:val="16"/>
          <w:szCs w:val="16"/>
        </w:rPr>
        <w:t xml:space="preserve">? (Classification of abuses in Article 82 EC: a Critical assessment), in The Reform of Greek and EC Competition Law (in Greek), Nomiki Bibliothiki, </w:t>
      </w:r>
      <w:proofErr w:type="gramStart"/>
      <w:r w:rsidRPr="002949EC">
        <w:rPr>
          <w:rFonts w:ascii="Verdana" w:eastAsia="Times New Roman" w:hAnsi="Verdana" w:cs="Times New Roman"/>
          <w:color w:val="000000"/>
          <w:sz w:val="16"/>
          <w:szCs w:val="16"/>
        </w:rPr>
        <w:t>Athens ,</w:t>
      </w:r>
      <w:proofErr w:type="gramEnd"/>
      <w:r w:rsidRPr="002949EC">
        <w:rPr>
          <w:rFonts w:ascii="Verdana" w:eastAsia="Times New Roman" w:hAnsi="Verdana" w:cs="Times New Roman"/>
          <w:color w:val="000000"/>
          <w:sz w:val="16"/>
          <w:szCs w:val="16"/>
        </w:rPr>
        <w:t xml:space="preserve"> 2008, 173-214.</w:t>
      </w:r>
    </w:p>
    <w:p w:rsidR="002949EC" w:rsidRPr="002949EC" w:rsidRDefault="002949EC" w:rsidP="002949EC">
      <w:pPr>
        <w:numPr>
          <w:ilvl w:val="0"/>
          <w:numId w:val="18"/>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�Politique Commerciale Commune� and �Politique Etrangère et de Sécurité Commune�, in Commentaire article par article des Traités d'Amsterdam et de </w:t>
      </w:r>
      <w:proofErr w:type="gramStart"/>
      <w:r w:rsidRPr="002949EC">
        <w:rPr>
          <w:rFonts w:ascii="Verdana" w:eastAsia="Times New Roman" w:hAnsi="Verdana" w:cs="Times New Roman"/>
          <w:color w:val="000000"/>
          <w:sz w:val="16"/>
          <w:szCs w:val="16"/>
        </w:rPr>
        <w:t>Nice ,</w:t>
      </w:r>
      <w:proofErr w:type="gramEnd"/>
      <w:r w:rsidRPr="002949EC">
        <w:rPr>
          <w:rFonts w:ascii="Verdana" w:eastAsia="Times New Roman" w:hAnsi="Verdana" w:cs="Times New Roman"/>
          <w:color w:val="000000"/>
          <w:sz w:val="16"/>
          <w:szCs w:val="16"/>
        </w:rPr>
        <w:t xml:space="preserve"> (ed.) V. Constantinesco, Y. Gautier &amp; D. Simon, Economica, 2007, pp. 50-93, 491-513.</w:t>
      </w:r>
    </w:p>
    <w:p w:rsidR="002949EC" w:rsidRPr="002949EC" w:rsidRDefault="002949EC" w:rsidP="002949EC">
      <w:pPr>
        <w:numPr>
          <w:ilvl w:val="0"/>
          <w:numId w:val="19"/>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�La Banque Centrale Européenne </w:t>
      </w:r>
      <w:proofErr w:type="gramStart"/>
      <w:r w:rsidRPr="002949EC">
        <w:rPr>
          <w:rFonts w:ascii="Verdana" w:eastAsia="Times New Roman" w:hAnsi="Verdana" w:cs="Times New Roman"/>
          <w:color w:val="000000"/>
          <w:sz w:val="16"/>
          <w:szCs w:val="16"/>
        </w:rPr>
        <w:t>et</w:t>
      </w:r>
      <w:proofErr w:type="gramEnd"/>
      <w:r w:rsidRPr="002949EC">
        <w:rPr>
          <w:rFonts w:ascii="Verdana" w:eastAsia="Times New Roman" w:hAnsi="Verdana" w:cs="Times New Roman"/>
          <w:color w:val="000000"/>
          <w:sz w:val="16"/>
          <w:szCs w:val="16"/>
        </w:rPr>
        <w:t xml:space="preserve"> Organes consultatifs�, in Le Traité Constitutionnel, (éd.) V. Constantinesco, Y. Gautier, PUS, 2005, pp. 181-191.</w:t>
      </w:r>
    </w:p>
    <w:p w:rsidR="002949EC" w:rsidRPr="002949EC" w:rsidRDefault="002949EC" w:rsidP="002949EC">
      <w:pPr>
        <w:numPr>
          <w:ilvl w:val="0"/>
          <w:numId w:val="20"/>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&amp; Y. Gautier, �Le Traité de Nice et Politique Commerciale Commune des CE�, in Le Traité de Nice: Premières </w:t>
      </w:r>
      <w:proofErr w:type="gramStart"/>
      <w:r w:rsidRPr="002949EC">
        <w:rPr>
          <w:rFonts w:ascii="Verdana" w:eastAsia="Times New Roman" w:hAnsi="Verdana" w:cs="Times New Roman"/>
          <w:color w:val="000000"/>
          <w:sz w:val="16"/>
          <w:szCs w:val="16"/>
        </w:rPr>
        <w:t>analyses ,</w:t>
      </w:r>
      <w:proofErr w:type="gramEnd"/>
      <w:r w:rsidRPr="002949EC">
        <w:rPr>
          <w:rFonts w:ascii="Verdana" w:eastAsia="Times New Roman" w:hAnsi="Verdana" w:cs="Times New Roman"/>
          <w:color w:val="000000"/>
          <w:sz w:val="16"/>
          <w:szCs w:val="16"/>
        </w:rPr>
        <w:t xml:space="preserve"> (ed.) V. Constantinesco, D. Simon and Y. Gautier, Presses Universitaires de Strasbourg, 2001, pp. 173-207.</w:t>
      </w:r>
    </w:p>
    <w:p w:rsidR="002949EC" w:rsidRPr="002949EC" w:rsidRDefault="002949EC" w:rsidP="002949EC">
      <w:pPr>
        <w:numPr>
          <w:ilvl w:val="0"/>
          <w:numId w:val="21"/>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(with Johannes Leblanc), Trust, Distrust and Economic </w:t>
      </w:r>
      <w:proofErr w:type="gramStart"/>
      <w:r w:rsidRPr="002949EC">
        <w:rPr>
          <w:rFonts w:ascii="Verdana" w:eastAsia="Times New Roman" w:hAnsi="Verdana" w:cs="Times New Roman"/>
          <w:color w:val="000000"/>
          <w:sz w:val="16"/>
          <w:szCs w:val="16"/>
        </w:rPr>
        <w:t>Integration :</w:t>
      </w:r>
      <w:proofErr w:type="gramEnd"/>
      <w:r w:rsidRPr="002949EC">
        <w:rPr>
          <w:rFonts w:ascii="Verdana" w:eastAsia="Times New Roman" w:hAnsi="Verdana" w:cs="Times New Roman"/>
          <w:color w:val="000000"/>
          <w:sz w:val="16"/>
          <w:szCs w:val="16"/>
        </w:rPr>
        <w:t xml:space="preserve"> Sketching the theory, in Ioannis Lianos &amp; okeoghene Odudu , Regulating Trade in Services in the EU and the WTO: Trust, Distrust and Economic Integration , Cambridge University Press, forthcoming 2011, 22 pp.</w:t>
      </w:r>
    </w:p>
    <w:p w:rsidR="002949EC" w:rsidRPr="002949EC" w:rsidRDefault="002949EC" w:rsidP="002949EC">
      <w:pPr>
        <w:numPr>
          <w:ilvl w:val="0"/>
          <w:numId w:val="22"/>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Competition law in the European Union after the Lisbon Treaty, in Diamond Ashiagbor, Nicola Countouris &amp; Ioannis </w:t>
      </w:r>
      <w:proofErr w:type="gramStart"/>
      <w:r w:rsidRPr="002949EC">
        <w:rPr>
          <w:rFonts w:ascii="Verdana" w:eastAsia="Times New Roman" w:hAnsi="Verdana" w:cs="Times New Roman"/>
          <w:color w:val="000000"/>
          <w:sz w:val="16"/>
          <w:szCs w:val="16"/>
        </w:rPr>
        <w:t>Lianos ,</w:t>
      </w:r>
      <w:proofErr w:type="gramEnd"/>
      <w:r w:rsidRPr="002949EC">
        <w:rPr>
          <w:rFonts w:ascii="Verdana" w:eastAsia="Times New Roman" w:hAnsi="Verdana" w:cs="Times New Roman"/>
          <w:color w:val="000000"/>
          <w:sz w:val="16"/>
          <w:szCs w:val="16"/>
        </w:rPr>
        <w:t xml:space="preserve"> The EU After the Lisbon Treaty , Cambridge University Press, forthcoming 2011, 14 pp</w:t>
      </w:r>
    </w:p>
    <w:p w:rsidR="002949EC" w:rsidRPr="002949EC" w:rsidRDefault="002949EC" w:rsidP="002949EC">
      <w:pPr>
        <w:numPr>
          <w:ilvl w:val="0"/>
          <w:numId w:val="23"/>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(with Damien Gerard), Shifting narratives in European economic integration: services, pluralism and mutual trust, in Ioannis Lianos &amp; okeoghene </w:t>
      </w:r>
      <w:proofErr w:type="gramStart"/>
      <w:r w:rsidRPr="002949EC">
        <w:rPr>
          <w:rFonts w:ascii="Verdana" w:eastAsia="Times New Roman" w:hAnsi="Verdana" w:cs="Times New Roman"/>
          <w:color w:val="000000"/>
          <w:sz w:val="16"/>
          <w:szCs w:val="16"/>
        </w:rPr>
        <w:t>Odudu ,</w:t>
      </w:r>
      <w:proofErr w:type="gramEnd"/>
      <w:r w:rsidRPr="002949EC">
        <w:rPr>
          <w:rFonts w:ascii="Verdana" w:eastAsia="Times New Roman" w:hAnsi="Verdana" w:cs="Times New Roman"/>
          <w:color w:val="000000"/>
          <w:sz w:val="16"/>
          <w:szCs w:val="16"/>
        </w:rPr>
        <w:t xml:space="preserve"> Regulating Trade in Services in the EU and the WTO: Trust, Distrust and Economic Integration , Cambridge University Press, forthcoming 2011, 28 pp</w:t>
      </w:r>
    </w:p>
    <w:p w:rsidR="002949EC" w:rsidRPr="002949EC" w:rsidRDefault="002949EC" w:rsidP="002949EC">
      <w:pPr>
        <w:numPr>
          <w:ilvl w:val="0"/>
          <w:numId w:val="2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(with Antonio Capobianco</w:t>
      </w:r>
      <w:proofErr w:type="gramStart"/>
      <w:r w:rsidRPr="002949EC">
        <w:rPr>
          <w:rFonts w:ascii="Verdana" w:eastAsia="Times New Roman" w:hAnsi="Verdana" w:cs="Times New Roman"/>
          <w:color w:val="000000"/>
          <w:sz w:val="16"/>
          <w:szCs w:val="16"/>
        </w:rPr>
        <w:t>),</w:t>
      </w:r>
      <w:proofErr w:type="gramEnd"/>
      <w:r w:rsidRPr="002949EC">
        <w:rPr>
          <w:rFonts w:ascii="Verdana" w:eastAsia="Times New Roman" w:hAnsi="Verdana" w:cs="Times New Roman"/>
          <w:color w:val="000000"/>
          <w:sz w:val="16"/>
          <w:szCs w:val="16"/>
        </w:rPr>
        <w:t xml:space="preserve"> Remedies, in Ioannis Lianos &amp; Damien Geradin, Research Handbook in European Competition Law, Edward Elgar, forthcoming 2011, 35 pp.</w:t>
      </w:r>
    </w:p>
    <w:p w:rsidR="002949EC" w:rsidRPr="002949EC" w:rsidRDefault="002949EC" w:rsidP="002949EC">
      <w:pPr>
        <w:numPr>
          <w:ilvl w:val="0"/>
          <w:numId w:val="25"/>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Evidence in Competition Law Proceedings, in Ioannis Lianos &amp; Damien Geradin, Research Handbook in European Competition Law, Edward Elgar, forthcoming 2011, 42 pp.</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b/>
          <w:bCs/>
          <w:color w:val="000000"/>
          <w:sz w:val="17"/>
          <w:szCs w:val="17"/>
        </w:rPr>
        <w:t>Article</w:t>
      </w:r>
    </w:p>
    <w:p w:rsidR="002949EC" w:rsidRPr="002949EC" w:rsidRDefault="002949EC" w:rsidP="002949EC">
      <w:pPr>
        <w:numPr>
          <w:ilvl w:val="0"/>
          <w:numId w:val="26"/>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Les implicancias de una teoria regulatoria de la propriedad intelectual (PI) para el derecho de la libre competencia: vision desde Europa, (2010) 75 Revista de Derecho Economico pp. 203-283</w:t>
      </w:r>
    </w:p>
    <w:p w:rsidR="002949EC" w:rsidRPr="002949EC" w:rsidRDefault="002949EC" w:rsidP="002949EC">
      <w:pPr>
        <w:numPr>
          <w:ilvl w:val="0"/>
          <w:numId w:val="26"/>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Shifting Narratives in the European Internal Market: Efficient Restrictions of Trade and the Nature of �Economic� Integration, (2010) </w:t>
      </w:r>
      <w:r w:rsidRPr="002949EC">
        <w:rPr>
          <w:rFonts w:ascii="Verdana" w:eastAsia="Times New Roman" w:hAnsi="Verdana" w:cs="Times New Roman"/>
          <w:i/>
          <w:iCs/>
          <w:color w:val="000000"/>
          <w:sz w:val="16"/>
          <w:szCs w:val="16"/>
        </w:rPr>
        <w:t>European Business Law Review </w:t>
      </w:r>
      <w:r w:rsidRPr="002949EC">
        <w:rPr>
          <w:rFonts w:ascii="Verdana" w:eastAsia="Times New Roman" w:hAnsi="Verdana" w:cs="Times New Roman"/>
          <w:color w:val="000000"/>
          <w:sz w:val="16"/>
          <w:szCs w:val="16"/>
        </w:rPr>
        <w:t>705-760.</w:t>
      </w:r>
    </w:p>
    <w:p w:rsidR="002949EC" w:rsidRPr="002949EC" w:rsidRDefault="002949EC" w:rsidP="002949EC">
      <w:pPr>
        <w:numPr>
          <w:ilvl w:val="0"/>
          <w:numId w:val="27"/>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(with Nicholas Economides), A Critical Appraisal of Remedies in the EU Antitrust Microsoft </w:t>
      </w:r>
      <w:proofErr w:type="gramStart"/>
      <w:r w:rsidRPr="002949EC">
        <w:rPr>
          <w:rFonts w:ascii="Verdana" w:eastAsia="Times New Roman" w:hAnsi="Verdana" w:cs="Times New Roman"/>
          <w:color w:val="000000"/>
          <w:sz w:val="16"/>
          <w:szCs w:val="16"/>
        </w:rPr>
        <w:t>Cases ,</w:t>
      </w:r>
      <w:proofErr w:type="gramEnd"/>
      <w:r w:rsidRPr="002949EC">
        <w:rPr>
          <w:rFonts w:ascii="Verdana" w:eastAsia="Times New Roman" w:hAnsi="Verdana" w:cs="Times New Roman"/>
          <w:color w:val="000000"/>
          <w:sz w:val="16"/>
          <w:szCs w:val="16"/>
        </w:rPr>
        <w:t xml:space="preserve"> 2010 (2) </w:t>
      </w:r>
      <w:r w:rsidRPr="002949EC">
        <w:rPr>
          <w:rFonts w:ascii="Verdana" w:eastAsia="Times New Roman" w:hAnsi="Verdana" w:cs="Times New Roman"/>
          <w:i/>
          <w:iCs/>
          <w:color w:val="000000"/>
          <w:sz w:val="16"/>
          <w:szCs w:val="16"/>
        </w:rPr>
        <w:t>Columbia Business Law Review </w:t>
      </w:r>
      <w:r w:rsidRPr="002949EC">
        <w:rPr>
          <w:rFonts w:ascii="Verdana" w:eastAsia="Times New Roman" w:hAnsi="Verdana" w:cs="Times New Roman"/>
          <w:color w:val="000000"/>
          <w:sz w:val="16"/>
          <w:szCs w:val="16"/>
        </w:rPr>
        <w:t>346-420</w:t>
      </w:r>
    </w:p>
    <w:p w:rsidR="002949EC" w:rsidRPr="002949EC" w:rsidRDefault="002949EC" w:rsidP="002949EC">
      <w:pPr>
        <w:numPr>
          <w:ilvl w:val="0"/>
          <w:numId w:val="28"/>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�Lost in translation</w:t>
      </w:r>
      <w:proofErr w:type="gramStart"/>
      <w:r w:rsidRPr="002949EC">
        <w:rPr>
          <w:rFonts w:ascii="Verdana" w:eastAsia="Times New Roman" w:hAnsi="Verdana" w:cs="Times New Roman"/>
          <w:color w:val="000000"/>
          <w:sz w:val="16"/>
          <w:szCs w:val="16"/>
        </w:rPr>
        <w:t>?�</w:t>
      </w:r>
      <w:proofErr w:type="gramEnd"/>
      <w:r w:rsidRPr="002949EC">
        <w:rPr>
          <w:rFonts w:ascii="Verdana" w:eastAsia="Times New Roman" w:hAnsi="Verdana" w:cs="Times New Roman"/>
          <w:color w:val="000000"/>
          <w:sz w:val="16"/>
          <w:szCs w:val="16"/>
        </w:rPr>
        <w:t xml:space="preserve"> Towards a theory of economic transplants, </w:t>
      </w:r>
      <w:r w:rsidRPr="002949EC">
        <w:rPr>
          <w:rFonts w:ascii="Verdana" w:eastAsia="Times New Roman" w:hAnsi="Verdana" w:cs="Times New Roman"/>
          <w:i/>
          <w:iCs/>
          <w:color w:val="000000"/>
          <w:sz w:val="16"/>
          <w:szCs w:val="16"/>
        </w:rPr>
        <w:t>Current Legal Problems </w:t>
      </w:r>
      <w:r w:rsidRPr="002949EC">
        <w:rPr>
          <w:rFonts w:ascii="Verdana" w:eastAsia="Times New Roman" w:hAnsi="Verdana" w:cs="Times New Roman"/>
          <w:color w:val="000000"/>
          <w:sz w:val="16"/>
          <w:szCs w:val="16"/>
        </w:rPr>
        <w:t>(CLP), 2009, pp. 346-404.</w:t>
      </w:r>
    </w:p>
    <w:p w:rsidR="002949EC" w:rsidRPr="002949EC" w:rsidRDefault="002949EC" w:rsidP="002949EC">
      <w:pPr>
        <w:numPr>
          <w:ilvl w:val="0"/>
          <w:numId w:val="29"/>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(with Nicholas Economides), The elusive antitrust standard on bundling in Europe and in the United States at the aftermath of the Microsoft case, 76 </w:t>
      </w:r>
      <w:r w:rsidRPr="002949EC">
        <w:rPr>
          <w:rFonts w:ascii="Verdana" w:eastAsia="Times New Roman" w:hAnsi="Verdana" w:cs="Times New Roman"/>
          <w:i/>
          <w:iCs/>
          <w:color w:val="000000"/>
          <w:sz w:val="16"/>
          <w:szCs w:val="16"/>
        </w:rPr>
        <w:t>Antitrust Law Journal </w:t>
      </w:r>
      <w:r w:rsidRPr="002949EC">
        <w:rPr>
          <w:rFonts w:ascii="Verdana" w:eastAsia="Times New Roman" w:hAnsi="Verdana" w:cs="Times New Roman"/>
          <w:color w:val="000000"/>
          <w:sz w:val="16"/>
          <w:szCs w:val="16"/>
        </w:rPr>
        <w:t>No. 2 (2009). 483-567</w:t>
      </w:r>
    </w:p>
    <w:p w:rsidR="002949EC" w:rsidRPr="002949EC" w:rsidRDefault="002949EC" w:rsidP="002949EC">
      <w:pPr>
        <w:numPr>
          <w:ilvl w:val="0"/>
          <w:numId w:val="30"/>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The price/non price distinction in exclusionary abuses under Article 82 EC: a critical appraisal, (2009) Concurrences 34-39.</w:t>
      </w:r>
    </w:p>
    <w:p w:rsidR="002949EC" w:rsidRPr="002949EC" w:rsidRDefault="002949EC" w:rsidP="002949EC">
      <w:pPr>
        <w:numPr>
          <w:ilvl w:val="0"/>
          <w:numId w:val="31"/>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Some reflections on the �vertical restraints� antitrust category, (2008) 4 </w:t>
      </w:r>
      <w:r w:rsidRPr="002949EC">
        <w:rPr>
          <w:rFonts w:ascii="Verdana" w:eastAsia="Times New Roman" w:hAnsi="Verdana" w:cs="Times New Roman"/>
          <w:i/>
          <w:iCs/>
          <w:color w:val="000000"/>
          <w:sz w:val="16"/>
          <w:szCs w:val="16"/>
        </w:rPr>
        <w:t>Concurrences </w:t>
      </w:r>
      <w:r w:rsidRPr="002949EC">
        <w:rPr>
          <w:rFonts w:ascii="Verdana" w:eastAsia="Times New Roman" w:hAnsi="Verdana" w:cs="Times New Roman"/>
          <w:color w:val="000000"/>
          <w:sz w:val="16"/>
          <w:szCs w:val="16"/>
        </w:rPr>
        <w:t>17-27.</w:t>
      </w:r>
    </w:p>
    <w:p w:rsidR="002949EC" w:rsidRPr="002949EC" w:rsidRDefault="002949EC" w:rsidP="002949EC">
      <w:pPr>
        <w:numPr>
          <w:ilvl w:val="0"/>
          <w:numId w:val="32"/>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Collusion in Vertical Relations under Article 81(1), (2008) 45(4) </w:t>
      </w:r>
      <w:r w:rsidRPr="002949EC">
        <w:rPr>
          <w:rFonts w:ascii="Verdana" w:eastAsia="Times New Roman" w:hAnsi="Verdana" w:cs="Times New Roman"/>
          <w:i/>
          <w:iCs/>
          <w:color w:val="000000"/>
          <w:sz w:val="16"/>
          <w:szCs w:val="16"/>
        </w:rPr>
        <w:t>Common Market Law Review </w:t>
      </w:r>
      <w:r w:rsidRPr="002949EC">
        <w:rPr>
          <w:rFonts w:ascii="Verdana" w:eastAsia="Times New Roman" w:hAnsi="Verdana" w:cs="Times New Roman"/>
          <w:color w:val="000000"/>
          <w:sz w:val="16"/>
          <w:szCs w:val="16"/>
        </w:rPr>
        <w:t>1027-1077</w:t>
      </w:r>
    </w:p>
    <w:p w:rsidR="002949EC" w:rsidRPr="002949EC" w:rsidRDefault="002949EC" w:rsidP="002949EC">
      <w:pPr>
        <w:numPr>
          <w:ilvl w:val="0"/>
          <w:numId w:val="33"/>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Commercial Agency Agreements, Vertical restraints and the Limits of Article 81(1): Between Hierarchies and Networks 3(4) </w:t>
      </w:r>
      <w:r w:rsidRPr="002949EC">
        <w:rPr>
          <w:rFonts w:ascii="Verdana" w:eastAsia="Times New Roman" w:hAnsi="Verdana" w:cs="Times New Roman"/>
          <w:i/>
          <w:iCs/>
          <w:color w:val="000000"/>
          <w:sz w:val="16"/>
          <w:szCs w:val="16"/>
        </w:rPr>
        <w:t>Journal of Competition Law and Economics </w:t>
      </w:r>
      <w:r w:rsidRPr="002949EC">
        <w:rPr>
          <w:rFonts w:ascii="Verdana" w:eastAsia="Times New Roman" w:hAnsi="Verdana" w:cs="Times New Roman"/>
          <w:color w:val="000000"/>
          <w:sz w:val="16"/>
          <w:szCs w:val="16"/>
        </w:rPr>
        <w:t>625-672 (2007).</w:t>
      </w:r>
    </w:p>
    <w:p w:rsidR="002949EC" w:rsidRPr="002949EC" w:rsidRDefault="002949EC" w:rsidP="002949EC">
      <w:pPr>
        <w:numPr>
          <w:ilvl w:val="0"/>
          <w:numId w:val="3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The Contribution of the United Nations to Global Antitrust, 15 </w:t>
      </w:r>
      <w:r w:rsidRPr="002949EC">
        <w:rPr>
          <w:rFonts w:ascii="Verdana" w:eastAsia="Times New Roman" w:hAnsi="Verdana" w:cs="Times New Roman"/>
          <w:i/>
          <w:iCs/>
          <w:color w:val="000000"/>
          <w:sz w:val="16"/>
          <w:szCs w:val="16"/>
        </w:rPr>
        <w:t>Tulane Journal of International and Comparative Law </w:t>
      </w:r>
      <w:r w:rsidRPr="002949EC">
        <w:rPr>
          <w:rFonts w:ascii="Verdana" w:eastAsia="Times New Roman" w:hAnsi="Verdana" w:cs="Times New Roman"/>
          <w:color w:val="000000"/>
          <w:sz w:val="16"/>
          <w:szCs w:val="16"/>
        </w:rPr>
        <w:t>415-463 (2007).</w:t>
      </w:r>
    </w:p>
    <w:p w:rsidR="002949EC" w:rsidRPr="002949EC" w:rsidRDefault="002949EC" w:rsidP="002949EC">
      <w:pPr>
        <w:numPr>
          <w:ilvl w:val="0"/>
          <w:numId w:val="35"/>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Competition Law and Intellectual Property Rights: Is the Property Rights' Approach Right? Chapter 8 in</w:t>
      </w:r>
      <w:r w:rsidRPr="002949EC">
        <w:rPr>
          <w:rFonts w:ascii="Verdana" w:eastAsia="Times New Roman" w:hAnsi="Verdana" w:cs="Times New Roman"/>
          <w:i/>
          <w:iCs/>
          <w:color w:val="000000"/>
          <w:sz w:val="16"/>
          <w:szCs w:val="16"/>
        </w:rPr>
        <w:t xml:space="preserve">Cambridge Yearbook of European Legal </w:t>
      </w:r>
      <w:proofErr w:type="gramStart"/>
      <w:r w:rsidRPr="002949EC">
        <w:rPr>
          <w:rFonts w:ascii="Verdana" w:eastAsia="Times New Roman" w:hAnsi="Verdana" w:cs="Times New Roman"/>
          <w:i/>
          <w:iCs/>
          <w:color w:val="000000"/>
          <w:sz w:val="16"/>
          <w:szCs w:val="16"/>
        </w:rPr>
        <w:t>Studies </w:t>
      </w:r>
      <w:r w:rsidRPr="002949EC">
        <w:rPr>
          <w:rFonts w:ascii="Verdana" w:eastAsia="Times New Roman" w:hAnsi="Verdana" w:cs="Times New Roman"/>
          <w:color w:val="000000"/>
          <w:sz w:val="16"/>
          <w:szCs w:val="16"/>
        </w:rPr>
        <w:t>.</w:t>
      </w:r>
      <w:proofErr w:type="gramEnd"/>
      <w:r w:rsidRPr="002949EC">
        <w:rPr>
          <w:rFonts w:ascii="Verdana" w:eastAsia="Times New Roman" w:hAnsi="Verdana" w:cs="Times New Roman"/>
          <w:color w:val="000000"/>
          <w:sz w:val="16"/>
          <w:szCs w:val="16"/>
        </w:rPr>
        <w:t xml:space="preserve"> John Bell &amp; Claire Kilpatrick (ed.), </w:t>
      </w:r>
      <w:proofErr w:type="gramStart"/>
      <w:r w:rsidRPr="002949EC">
        <w:rPr>
          <w:rFonts w:ascii="Verdana" w:eastAsia="Times New Roman" w:hAnsi="Verdana" w:cs="Times New Roman"/>
          <w:color w:val="000000"/>
          <w:sz w:val="16"/>
          <w:szCs w:val="16"/>
        </w:rPr>
        <w:t>Oxford :</w:t>
      </w:r>
      <w:proofErr w:type="gramEnd"/>
      <w:r w:rsidRPr="002949EC">
        <w:rPr>
          <w:rFonts w:ascii="Verdana" w:eastAsia="Times New Roman" w:hAnsi="Verdana" w:cs="Times New Roman"/>
          <w:color w:val="000000"/>
          <w:sz w:val="16"/>
          <w:szCs w:val="16"/>
        </w:rPr>
        <w:t xml:space="preserve"> Hart Publishing, 2006, 153-186.</w:t>
      </w:r>
    </w:p>
    <w:p w:rsidR="002949EC" w:rsidRPr="002949EC" w:rsidRDefault="002949EC" w:rsidP="002949EC">
      <w:pPr>
        <w:numPr>
          <w:ilvl w:val="0"/>
          <w:numId w:val="36"/>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The Introduction of Public Private Partnerships in </w:t>
      </w:r>
      <w:proofErr w:type="gramStart"/>
      <w:r w:rsidRPr="002949EC">
        <w:rPr>
          <w:rFonts w:ascii="Verdana" w:eastAsia="Times New Roman" w:hAnsi="Verdana" w:cs="Times New Roman"/>
          <w:color w:val="000000"/>
          <w:sz w:val="16"/>
          <w:szCs w:val="16"/>
        </w:rPr>
        <w:t>Greece ,</w:t>
      </w:r>
      <w:proofErr w:type="gramEnd"/>
      <w:r w:rsidRPr="002949EC">
        <w:rPr>
          <w:rFonts w:ascii="Verdana" w:eastAsia="Times New Roman" w:hAnsi="Verdana" w:cs="Times New Roman"/>
          <w:color w:val="000000"/>
          <w:sz w:val="16"/>
          <w:szCs w:val="16"/>
        </w:rPr>
        <w:t xml:space="preserve"> 1 </w:t>
      </w:r>
      <w:r w:rsidRPr="002949EC">
        <w:rPr>
          <w:rFonts w:ascii="Verdana" w:eastAsia="Times New Roman" w:hAnsi="Verdana" w:cs="Times New Roman"/>
          <w:i/>
          <w:iCs/>
          <w:color w:val="000000"/>
          <w:sz w:val="16"/>
          <w:szCs w:val="16"/>
        </w:rPr>
        <w:t>European Public Private Partnerships Law Review </w:t>
      </w:r>
      <w:r w:rsidRPr="002949EC">
        <w:rPr>
          <w:rFonts w:ascii="Verdana" w:eastAsia="Times New Roman" w:hAnsi="Verdana" w:cs="Times New Roman"/>
          <w:color w:val="000000"/>
          <w:sz w:val="16"/>
          <w:szCs w:val="16"/>
        </w:rPr>
        <w:t>(2006) 50-54</w:t>
      </w:r>
    </w:p>
    <w:p w:rsidR="002949EC" w:rsidRPr="002949EC" w:rsidRDefault="002949EC" w:rsidP="002949EC">
      <w:pPr>
        <w:numPr>
          <w:ilvl w:val="0"/>
          <w:numId w:val="37"/>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La �confusion des infractions� de l'article 81§1: quelques interrogations sur l'utilité de la notion d'infraction unique, </w:t>
      </w:r>
      <w:r w:rsidRPr="002949EC">
        <w:rPr>
          <w:rFonts w:ascii="Verdana" w:eastAsia="Times New Roman" w:hAnsi="Verdana" w:cs="Times New Roman"/>
          <w:i/>
          <w:iCs/>
          <w:color w:val="000000"/>
          <w:sz w:val="16"/>
          <w:szCs w:val="16"/>
        </w:rPr>
        <w:t xml:space="preserve">Revue Trimestrielle de Droit </w:t>
      </w:r>
      <w:proofErr w:type="gramStart"/>
      <w:r w:rsidRPr="002949EC">
        <w:rPr>
          <w:rFonts w:ascii="Verdana" w:eastAsia="Times New Roman" w:hAnsi="Verdana" w:cs="Times New Roman"/>
          <w:i/>
          <w:iCs/>
          <w:color w:val="000000"/>
          <w:sz w:val="16"/>
          <w:szCs w:val="16"/>
        </w:rPr>
        <w:t>européen </w:t>
      </w:r>
      <w:r w:rsidRPr="002949EC">
        <w:rPr>
          <w:rFonts w:ascii="Verdana" w:eastAsia="Times New Roman" w:hAnsi="Verdana" w:cs="Times New Roman"/>
          <w:color w:val="000000"/>
          <w:sz w:val="16"/>
          <w:szCs w:val="16"/>
        </w:rPr>
        <w:t>,</w:t>
      </w:r>
      <w:proofErr w:type="gramEnd"/>
      <w:r w:rsidRPr="002949EC">
        <w:rPr>
          <w:rFonts w:ascii="Verdana" w:eastAsia="Times New Roman" w:hAnsi="Verdana" w:cs="Times New Roman"/>
          <w:color w:val="000000"/>
          <w:sz w:val="16"/>
          <w:szCs w:val="16"/>
        </w:rPr>
        <w:t xml:space="preserve"> 2000, pp. 239-271.</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b/>
          <w:bCs/>
          <w:color w:val="000000"/>
          <w:sz w:val="17"/>
          <w:szCs w:val="17"/>
        </w:rPr>
        <w:t>Reports</w:t>
      </w:r>
    </w:p>
    <w:p w:rsidR="002949EC" w:rsidRPr="002949EC" w:rsidRDefault="002949EC" w:rsidP="002949EC">
      <w:pPr>
        <w:numPr>
          <w:ilvl w:val="0"/>
          <w:numId w:val="38"/>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&amp; Arianna Andreangelli, Competition Law enforcement and Governance in </w:t>
      </w:r>
      <w:proofErr w:type="gramStart"/>
      <w:r w:rsidRPr="002949EC">
        <w:rPr>
          <w:rFonts w:ascii="Verdana" w:eastAsia="Times New Roman" w:hAnsi="Verdana" w:cs="Times New Roman"/>
          <w:color w:val="000000"/>
          <w:sz w:val="16"/>
          <w:szCs w:val="16"/>
        </w:rPr>
        <w:t>Europe :</w:t>
      </w:r>
      <w:proofErr w:type="gramEnd"/>
      <w:r w:rsidRPr="002949EC">
        <w:rPr>
          <w:rFonts w:ascii="Verdana" w:eastAsia="Times New Roman" w:hAnsi="Verdana" w:cs="Times New Roman"/>
          <w:color w:val="000000"/>
          <w:sz w:val="16"/>
          <w:szCs w:val="16"/>
        </w:rPr>
        <w:t xml:space="preserve"> A Comparative Institutions Analysis , Global Administrative Law (GAL) Project, NYU Law School , 2010, 83 pp.</w:t>
      </w:r>
    </w:p>
    <w:p w:rsidR="002949EC" w:rsidRPr="002949EC" w:rsidRDefault="002949EC" w:rsidP="002949EC">
      <w:pPr>
        <w:numPr>
          <w:ilvl w:val="0"/>
          <w:numId w:val="39"/>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Christophe Humpe, Ioannis Lianos, Nicolas Petit and Bernard van der Walle de Gelcke, Report on the DIRECTLY APPLICABLE EXCEPTION SYSTEM AND the direct applicability of article 81(3) EC: POSITIVE ENFORCEMENT AND LEGAL CERTAINTY, Global Competition Law Centre, College of Europe, 55 pp. Published by Bruylant, Brussels.</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color w:val="000000"/>
          <w:sz w:val="17"/>
          <w:szCs w:val="17"/>
        </w:rPr>
        <w:t> </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b/>
          <w:bCs/>
          <w:color w:val="000000"/>
          <w:sz w:val="17"/>
          <w:szCs w:val="17"/>
        </w:rPr>
        <w:t>Working papers/imminent publications</w:t>
      </w:r>
    </w:p>
    <w:p w:rsidR="002949EC" w:rsidRPr="002949EC" w:rsidRDefault="002949EC" w:rsidP="002949EC">
      <w:pPr>
        <w:numPr>
          <w:ilvl w:val="0"/>
          <w:numId w:val="40"/>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&amp; Jun Zhu, Optimal Tests for Strategic Antitrust Sham Litigation, paper presented at the Centre for Law and Economics, University of Amsterdam, 2007, 1-22 pp (will be submitted or publication in 2007), abstract available at</w:t>
      </w:r>
      <w:hyperlink r:id="rId16" w:history="1">
        <w:r w:rsidRPr="002949EC">
          <w:rPr>
            <w:rFonts w:ascii="Verdana" w:eastAsia="Times New Roman" w:hAnsi="Verdana" w:cs="Times New Roman"/>
            <w:color w:val="003399"/>
            <w:sz w:val="16"/>
            <w:szCs w:val="16"/>
          </w:rPr>
          <w:t>http://www.cms.uva.nl/acle/object.cfm/objectid=66A43951-1DFD-4068-9DFF365B13745475/download=true </w:t>
        </w:r>
      </w:hyperlink>
      <w:r w:rsidRPr="002949EC">
        <w:rPr>
          <w:rFonts w:ascii="Verdana" w:eastAsia="Times New Roman" w:hAnsi="Verdana" w:cs="Times New Roman"/>
          <w:color w:val="000000"/>
          <w:sz w:val="16"/>
          <w:szCs w:val="16"/>
        </w:rPr>
        <w:t>and slides at </w:t>
      </w:r>
      <w:hyperlink r:id="rId17" w:history="1">
        <w:r w:rsidRPr="002949EC">
          <w:rPr>
            <w:rFonts w:ascii="Verdana" w:eastAsia="Times New Roman" w:hAnsi="Verdana" w:cs="Times New Roman"/>
            <w:color w:val="003399"/>
            <w:sz w:val="16"/>
            <w:szCs w:val="16"/>
          </w:rPr>
          <w:t>www.cms.uva.nl/acle/object.cfm/objectid=7C16A1A2-AFDE-4D38-B3F98ECC81E47B04/download=true </w:t>
        </w:r>
      </w:hyperlink>
      <w:r w:rsidRPr="002949EC">
        <w:rPr>
          <w:rFonts w:ascii="Verdana" w:eastAsia="Times New Roman" w:hAnsi="Verdana" w:cs="Times New Roman"/>
          <w:color w:val="000000"/>
          <w:sz w:val="16"/>
          <w:szCs w:val="16"/>
        </w:rPr>
        <w:t>.</w:t>
      </w:r>
    </w:p>
    <w:p w:rsidR="002949EC" w:rsidRPr="002949EC" w:rsidRDefault="002949EC" w:rsidP="002949EC">
      <w:pPr>
        <w:numPr>
          <w:ilvl w:val="0"/>
          <w:numId w:val="41"/>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Ioannis Lianos, A regulatory theory of IP: implications for competition law, working paper, TILEC, University of </w:t>
      </w:r>
      <w:proofErr w:type="gramStart"/>
      <w:r w:rsidRPr="002949EC">
        <w:rPr>
          <w:rFonts w:ascii="Verdana" w:eastAsia="Times New Roman" w:hAnsi="Verdana" w:cs="Times New Roman"/>
          <w:color w:val="000000"/>
          <w:sz w:val="16"/>
          <w:szCs w:val="16"/>
        </w:rPr>
        <w:t>Tilburg ,</w:t>
      </w:r>
      <w:proofErr w:type="gramEnd"/>
      <w:r w:rsidRPr="002949EC">
        <w:rPr>
          <w:rFonts w:ascii="Verdana" w:eastAsia="Times New Roman" w:hAnsi="Verdana" w:cs="Times New Roman"/>
          <w:color w:val="000000"/>
          <w:sz w:val="16"/>
          <w:szCs w:val="16"/>
        </w:rPr>
        <w:t xml:space="preserve"> March 2008, available at </w:t>
      </w:r>
      <w:hyperlink r:id="rId18" w:history="1">
        <w:r w:rsidRPr="002949EC">
          <w:rPr>
            <w:rFonts w:ascii="Verdana" w:eastAsia="Times New Roman" w:hAnsi="Verdana" w:cs="Times New Roman"/>
            <w:color w:val="003399"/>
            <w:sz w:val="16"/>
            <w:szCs w:val="16"/>
          </w:rPr>
          <w:t>http://www.tilburguniversity.nl/tilec/meetings/seminars/2008/maart/lianospaper.pdf </w:t>
        </w:r>
      </w:hyperlink>
      <w:r w:rsidRPr="002949EC">
        <w:rPr>
          <w:rFonts w:ascii="Verdana" w:eastAsia="Times New Roman" w:hAnsi="Verdana" w:cs="Times New Roman"/>
          <w:color w:val="000000"/>
          <w:sz w:val="16"/>
          <w:szCs w:val="16"/>
        </w:rPr>
        <w:t>..</w:t>
      </w:r>
    </w:p>
    <w:p w:rsidR="002949EC" w:rsidRPr="002949EC" w:rsidRDefault="002949EC" w:rsidP="002949EC">
      <w:pPr>
        <w:numPr>
          <w:ilvl w:val="0"/>
          <w:numId w:val="42"/>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&amp; Nick Economides, The Quest for Appropriate Remedies in the Microsoft Antitrust EU Cases: A Comparative Appraisal, available at </w:t>
      </w:r>
      <w:hyperlink r:id="rId19" w:history="1">
        <w:r w:rsidRPr="002949EC">
          <w:rPr>
            <w:rFonts w:ascii="Verdana" w:eastAsia="Times New Roman" w:hAnsi="Verdana" w:cs="Times New Roman"/>
            <w:color w:val="003399"/>
            <w:sz w:val="16"/>
            <w:szCs w:val="16"/>
          </w:rPr>
          <w:t>http://papers.ssrn.com/sol3/papers.cfm?abstract_id=1464505</w:t>
        </w:r>
      </w:hyperlink>
    </w:p>
    <w:p w:rsidR="002949EC" w:rsidRPr="002949EC" w:rsidRDefault="002949EC" w:rsidP="002949EC">
      <w:pPr>
        <w:numPr>
          <w:ilvl w:val="0"/>
          <w:numId w:val="43"/>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Ioannis Lianos &amp; Javier Tapia, Generalist Judges, Specialized Tribunals, Sector Specific Regulators and Competition Authorities: Close Encounters of the Third Kind, CLGE Working Paper, forthcoming December 2010, 58 pp.</w:t>
      </w:r>
    </w:p>
    <w:p w:rsidR="002949EC" w:rsidRPr="002949EC" w:rsidRDefault="002949EC" w:rsidP="002949EC">
      <w:pPr>
        <w:shd w:val="clear" w:color="auto" w:fill="FFFFFF"/>
        <w:spacing w:before="150" w:after="300" w:line="232" w:lineRule="atLeast"/>
        <w:jc w:val="both"/>
        <w:rPr>
          <w:rFonts w:ascii="Verdana" w:hAnsi="Verdana" w:cs="Times New Roman"/>
          <w:color w:val="000000"/>
          <w:sz w:val="17"/>
          <w:szCs w:val="17"/>
        </w:rPr>
      </w:pPr>
      <w:r w:rsidRPr="002949EC">
        <w:rPr>
          <w:rFonts w:ascii="Verdana" w:hAnsi="Verdana" w:cs="Times New Roman"/>
          <w:b/>
          <w:bCs/>
          <w:color w:val="000000"/>
          <w:sz w:val="17"/>
          <w:szCs w:val="17"/>
        </w:rPr>
        <w:t>Selected Recent talks (since January 2007)</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 Cost-benefit analysis and article 81.3 EC �, Oxford </w:t>
      </w:r>
      <w:proofErr w:type="gramStart"/>
      <w:r w:rsidRPr="002949EC">
        <w:rPr>
          <w:rFonts w:ascii="Verdana" w:eastAsia="Times New Roman" w:hAnsi="Verdana" w:cs="Times New Roman"/>
          <w:color w:val="000000"/>
          <w:sz w:val="16"/>
          <w:szCs w:val="16"/>
        </w:rPr>
        <w:t>University ,</w:t>
      </w:r>
      <w:proofErr w:type="gramEnd"/>
      <w:r w:rsidRPr="002949EC">
        <w:rPr>
          <w:rFonts w:ascii="Verdana" w:eastAsia="Times New Roman" w:hAnsi="Verdana" w:cs="Times New Roman"/>
          <w:color w:val="000000"/>
          <w:sz w:val="16"/>
          <w:szCs w:val="16"/>
        </w:rPr>
        <w:t xml:space="preserve"> Centre for Competition Law and Policy, Oxford , February 8, 2007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�Optimal Test for Strategic Antitrust Sham Litigation� (with Jun Zhou), Centre for Law and Economics, University of </w:t>
      </w:r>
      <w:proofErr w:type="gramStart"/>
      <w:r w:rsidRPr="002949EC">
        <w:rPr>
          <w:rFonts w:ascii="Verdana" w:eastAsia="Times New Roman" w:hAnsi="Verdana" w:cs="Times New Roman"/>
          <w:color w:val="000000"/>
          <w:sz w:val="16"/>
          <w:szCs w:val="16"/>
        </w:rPr>
        <w:t>Amsterdam ,</w:t>
      </w:r>
      <w:proofErr w:type="gramEnd"/>
      <w:r w:rsidRPr="002949EC">
        <w:rPr>
          <w:rFonts w:ascii="Verdana" w:eastAsia="Times New Roman" w:hAnsi="Verdana" w:cs="Times New Roman"/>
          <w:color w:val="000000"/>
          <w:sz w:val="16"/>
          <w:szCs w:val="16"/>
        </w:rPr>
        <w:t xml:space="preserve"> March 16, 2007</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�Economic evidence in competition litigation�, Athens University of Economics and Business, </w:t>
      </w:r>
      <w:proofErr w:type="gramStart"/>
      <w:r w:rsidRPr="002949EC">
        <w:rPr>
          <w:rFonts w:ascii="Verdana" w:eastAsia="Times New Roman" w:hAnsi="Verdana" w:cs="Times New Roman"/>
          <w:color w:val="000000"/>
          <w:sz w:val="16"/>
          <w:szCs w:val="16"/>
        </w:rPr>
        <w:t>Athens ,</w:t>
      </w:r>
      <w:proofErr w:type="gramEnd"/>
      <w:r w:rsidRPr="002949EC">
        <w:rPr>
          <w:rFonts w:ascii="Verdana" w:eastAsia="Times New Roman" w:hAnsi="Verdana" w:cs="Times New Roman"/>
          <w:color w:val="000000"/>
          <w:sz w:val="16"/>
          <w:szCs w:val="16"/>
        </w:rPr>
        <w:t xml:space="preserve"> June 1, 2007 (co-organizer of the conference)</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�Economic expertise in courts: the case of competition law�, University of </w:t>
      </w:r>
      <w:proofErr w:type="gramStart"/>
      <w:r w:rsidRPr="002949EC">
        <w:rPr>
          <w:rFonts w:ascii="Verdana" w:eastAsia="Times New Roman" w:hAnsi="Verdana" w:cs="Times New Roman"/>
          <w:color w:val="000000"/>
          <w:sz w:val="16"/>
          <w:szCs w:val="16"/>
        </w:rPr>
        <w:t>Warwick ,</w:t>
      </w:r>
      <w:proofErr w:type="gramEnd"/>
      <w:r w:rsidRPr="002949EC">
        <w:rPr>
          <w:rFonts w:ascii="Verdana" w:eastAsia="Times New Roman" w:hAnsi="Verdana" w:cs="Times New Roman"/>
          <w:color w:val="000000"/>
          <w:sz w:val="16"/>
          <w:szCs w:val="16"/>
        </w:rPr>
        <w:t xml:space="preserve"> Warwick , April 2008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 Classification of abuses in Article 82 EC: a straight story? </w:t>
      </w:r>
      <w:proofErr w:type="gramStart"/>
      <w:r w:rsidRPr="002949EC">
        <w:rPr>
          <w:rFonts w:ascii="Verdana" w:eastAsia="Times New Roman" w:hAnsi="Verdana" w:cs="Times New Roman"/>
          <w:color w:val="000000"/>
          <w:sz w:val="16"/>
          <w:szCs w:val="16"/>
        </w:rPr>
        <w:t>� ,</w:t>
      </w:r>
      <w:proofErr w:type="gramEnd"/>
      <w:r w:rsidRPr="002949EC">
        <w:rPr>
          <w:rFonts w:ascii="Verdana" w:eastAsia="Times New Roman" w:hAnsi="Verdana" w:cs="Times New Roman"/>
          <w:color w:val="000000"/>
          <w:sz w:val="16"/>
          <w:szCs w:val="16"/>
        </w:rPr>
        <w:t xml:space="preserve"> Oxford University , Centre for Competition Law and Policy, Oxford , May 8, 2008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�The vertical/horizontal dichotomy in competition law: some reflections�, University of Paris </w:t>
      </w:r>
      <w:proofErr w:type="gramStart"/>
      <w:r w:rsidRPr="002949EC">
        <w:rPr>
          <w:rFonts w:ascii="Verdana" w:eastAsia="Times New Roman" w:hAnsi="Verdana" w:cs="Times New Roman"/>
          <w:color w:val="000000"/>
          <w:sz w:val="16"/>
          <w:szCs w:val="16"/>
        </w:rPr>
        <w:t>II ,</w:t>
      </w:r>
      <w:proofErr w:type="gramEnd"/>
      <w:r w:rsidRPr="002949EC">
        <w:rPr>
          <w:rFonts w:ascii="Verdana" w:eastAsia="Times New Roman" w:hAnsi="Verdana" w:cs="Times New Roman"/>
          <w:color w:val="000000"/>
          <w:sz w:val="16"/>
          <w:szCs w:val="16"/>
        </w:rPr>
        <w:t xml:space="preserve"> Paris , 23 May 2008 (co-organizer of the conference)</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�The transformation of energy regulation in Europe: implications for competition law�, Istanbul Bilgi </w:t>
      </w:r>
      <w:proofErr w:type="gramStart"/>
      <w:r w:rsidRPr="002949EC">
        <w:rPr>
          <w:rFonts w:ascii="Verdana" w:eastAsia="Times New Roman" w:hAnsi="Verdana" w:cs="Times New Roman"/>
          <w:color w:val="000000"/>
          <w:sz w:val="16"/>
          <w:szCs w:val="16"/>
        </w:rPr>
        <w:t>University ,</w:t>
      </w:r>
      <w:proofErr w:type="gramEnd"/>
      <w:r w:rsidRPr="002949EC">
        <w:rPr>
          <w:rFonts w:ascii="Verdana" w:eastAsia="Times New Roman" w:hAnsi="Verdana" w:cs="Times New Roman"/>
          <w:color w:val="000000"/>
          <w:sz w:val="16"/>
          <w:szCs w:val="16"/>
        </w:rPr>
        <w:t xml:space="preserve"> September 5, 2008 (co-organizer of the conference)</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�Cost benefit analysis/impact assessment and the transformation of regulation in Europe�, Jean Monnet </w:t>
      </w:r>
      <w:proofErr w:type="gramStart"/>
      <w:r w:rsidRPr="002949EC">
        <w:rPr>
          <w:rFonts w:ascii="Verdana" w:eastAsia="Times New Roman" w:hAnsi="Verdana" w:cs="Times New Roman"/>
          <w:color w:val="000000"/>
          <w:sz w:val="16"/>
          <w:szCs w:val="16"/>
        </w:rPr>
        <w:t>Center ,</w:t>
      </w:r>
      <w:proofErr w:type="gramEnd"/>
      <w:r w:rsidRPr="002949EC">
        <w:rPr>
          <w:rFonts w:ascii="Verdana" w:eastAsia="Times New Roman" w:hAnsi="Verdana" w:cs="Times New Roman"/>
          <w:color w:val="000000"/>
          <w:sz w:val="16"/>
          <w:szCs w:val="16"/>
        </w:rPr>
        <w:t xml:space="preserve"> NYU Law, New York , November 16, 2008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�The paradigm of interpretation in the case law of the European Court of Justice on Internal Market: economic transplants as accidents of interpretation</w:t>
      </w:r>
      <w:proofErr w:type="gramStart"/>
      <w:r w:rsidRPr="002949EC">
        <w:rPr>
          <w:rFonts w:ascii="Verdana" w:eastAsia="Times New Roman" w:hAnsi="Verdana" w:cs="Times New Roman"/>
          <w:color w:val="000000"/>
          <w:sz w:val="16"/>
          <w:szCs w:val="16"/>
        </w:rPr>
        <w:t>?�</w:t>
      </w:r>
      <w:proofErr w:type="gramEnd"/>
      <w:r w:rsidRPr="002949EC">
        <w:rPr>
          <w:rFonts w:ascii="Verdana" w:eastAsia="Times New Roman" w:hAnsi="Verdana" w:cs="Times New Roman"/>
          <w:color w:val="000000"/>
          <w:sz w:val="16"/>
          <w:szCs w:val="16"/>
        </w:rPr>
        <w:t>, University of Brussels-Saint Louis, Celebrations for the 150 years of the establishment of the University of Brussels, March 12 2008 (invited speaker, in French)</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�Trust, distrust and eocnomic integration: a new approach�, University of </w:t>
      </w:r>
      <w:proofErr w:type="gramStart"/>
      <w:r w:rsidRPr="002949EC">
        <w:rPr>
          <w:rFonts w:ascii="Verdana" w:eastAsia="Times New Roman" w:hAnsi="Verdana" w:cs="Times New Roman"/>
          <w:color w:val="000000"/>
          <w:sz w:val="16"/>
          <w:szCs w:val="16"/>
        </w:rPr>
        <w:t>Cambridge ,</w:t>
      </w:r>
      <w:proofErr w:type="gramEnd"/>
      <w:r w:rsidRPr="002949EC">
        <w:rPr>
          <w:rFonts w:ascii="Verdana" w:eastAsia="Times New Roman" w:hAnsi="Verdana" w:cs="Times New Roman"/>
          <w:color w:val="000000"/>
          <w:sz w:val="16"/>
          <w:szCs w:val="16"/>
        </w:rPr>
        <w:t xml:space="preserve"> CELS, January 2009 (co-organizer of the conference)</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�Lost in Translation? Towards a Theory of Economic Transplants�, CLP Lecture, University College London, March 24, 2009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�Economic regulation in Europe: new governance techiques�, University of </w:t>
      </w:r>
      <w:proofErr w:type="gramStart"/>
      <w:r w:rsidRPr="002949EC">
        <w:rPr>
          <w:rFonts w:ascii="Verdana" w:eastAsia="Times New Roman" w:hAnsi="Verdana" w:cs="Times New Roman"/>
          <w:color w:val="000000"/>
          <w:sz w:val="16"/>
          <w:szCs w:val="16"/>
        </w:rPr>
        <w:t>Liverpool ,</w:t>
      </w:r>
      <w:proofErr w:type="gramEnd"/>
      <w:r w:rsidRPr="002949EC">
        <w:rPr>
          <w:rFonts w:ascii="Verdana" w:eastAsia="Times New Roman" w:hAnsi="Verdana" w:cs="Times New Roman"/>
          <w:color w:val="000000"/>
          <w:sz w:val="16"/>
          <w:szCs w:val="16"/>
        </w:rPr>
        <w:t xml:space="preserve"> June 26, 2009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�Economic expertise in courts: a European view�, University of East </w:t>
      </w:r>
      <w:proofErr w:type="gramStart"/>
      <w:r w:rsidRPr="002949EC">
        <w:rPr>
          <w:rFonts w:ascii="Verdana" w:eastAsia="Times New Roman" w:hAnsi="Verdana" w:cs="Times New Roman"/>
          <w:color w:val="000000"/>
          <w:sz w:val="16"/>
          <w:szCs w:val="16"/>
        </w:rPr>
        <w:t>Anglia ,</w:t>
      </w:r>
      <w:proofErr w:type="gramEnd"/>
      <w:r w:rsidRPr="002949EC">
        <w:rPr>
          <w:rFonts w:ascii="Verdana" w:eastAsia="Times New Roman" w:hAnsi="Verdana" w:cs="Times New Roman"/>
          <w:color w:val="000000"/>
          <w:sz w:val="16"/>
          <w:szCs w:val="16"/>
        </w:rPr>
        <w:t xml:space="preserve"> ESRC Centre for Competition Policy, September 25, 2009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�Vertical collusion, hub and spole, RPM and category amnagement�, British Institute of Comparative and International Law (BIICL), October 15, 2009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�Confusopoly and behavioral law and economics: between consumer protection and competition law�, Como Antitrust Summit, LECG, October 21-23, 2009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�The Services Directive and the reformation of European Internal Market Law�, European Institute of Public Administration (EIPA), </w:t>
      </w:r>
      <w:proofErr w:type="gramStart"/>
      <w:r w:rsidRPr="002949EC">
        <w:rPr>
          <w:rFonts w:ascii="Verdana" w:eastAsia="Times New Roman" w:hAnsi="Verdana" w:cs="Times New Roman"/>
          <w:color w:val="000000"/>
          <w:sz w:val="16"/>
          <w:szCs w:val="16"/>
        </w:rPr>
        <w:t>Barcelona ,</w:t>
      </w:r>
      <w:proofErr w:type="gramEnd"/>
      <w:r w:rsidRPr="002949EC">
        <w:rPr>
          <w:rFonts w:ascii="Verdana" w:eastAsia="Times New Roman" w:hAnsi="Verdana" w:cs="Times New Roman"/>
          <w:color w:val="000000"/>
          <w:sz w:val="16"/>
          <w:szCs w:val="16"/>
        </w:rPr>
        <w:t xml:space="preserve"> October 27, 2009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�The effectiveness of competition law remedies: a critical appraisal�, University of </w:t>
      </w:r>
      <w:proofErr w:type="gramStart"/>
      <w:r w:rsidRPr="002949EC">
        <w:rPr>
          <w:rFonts w:ascii="Verdana" w:eastAsia="Times New Roman" w:hAnsi="Verdana" w:cs="Times New Roman"/>
          <w:color w:val="000000"/>
          <w:sz w:val="16"/>
          <w:szCs w:val="16"/>
        </w:rPr>
        <w:t>Chile ,</w:t>
      </w:r>
      <w:proofErr w:type="gramEnd"/>
      <w:r w:rsidRPr="002949EC">
        <w:rPr>
          <w:rFonts w:ascii="Verdana" w:eastAsia="Times New Roman" w:hAnsi="Verdana" w:cs="Times New Roman"/>
          <w:color w:val="000000"/>
          <w:sz w:val="16"/>
          <w:szCs w:val="16"/>
        </w:rPr>
        <w:t xml:space="preserve"> Santiago , December 15-16, 2009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�The contribution of the United Nations to the emrgence of global antitrust�, Workshop on the Contribution of the United Nations to global antitrust, UNCTAD, </w:t>
      </w:r>
      <w:proofErr w:type="gramStart"/>
      <w:r w:rsidRPr="002949EC">
        <w:rPr>
          <w:rFonts w:ascii="Verdana" w:eastAsia="Times New Roman" w:hAnsi="Verdana" w:cs="Times New Roman"/>
          <w:color w:val="000000"/>
          <w:sz w:val="16"/>
          <w:szCs w:val="16"/>
        </w:rPr>
        <w:t>Geneva ,</w:t>
      </w:r>
      <w:proofErr w:type="gramEnd"/>
      <w:r w:rsidRPr="002949EC">
        <w:rPr>
          <w:rFonts w:ascii="Verdana" w:eastAsia="Times New Roman" w:hAnsi="Verdana" w:cs="Times New Roman"/>
          <w:color w:val="000000"/>
          <w:sz w:val="16"/>
          <w:szCs w:val="16"/>
        </w:rPr>
        <w:t xml:space="preserve"> January 25, 2010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�Quantification of damages in IP cases: lessons for antitrust�, Workshop of economic experts on the quantification of antitrust harm, DG Competition, European Commission, January 26, 2010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�Generalist Judges, Specialized Tribunals, Sector Specific Regulators and Competition Authorities: Close Encounters of the Third Kind », Next Generation Antitrust Conference, American Bar Association, NYU law, New York, January 29, 2010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�Resale Price Maintenance: a European view�, American Bar Association, Antitrust Division, Spring Meeting, Washington DC, April 21-22, 2010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�The assessment of economic </w:t>
      </w:r>
      <w:proofErr w:type="gramStart"/>
      <w:r w:rsidRPr="002949EC">
        <w:rPr>
          <w:rFonts w:ascii="Verdana" w:eastAsia="Times New Roman" w:hAnsi="Verdana" w:cs="Times New Roman"/>
          <w:color w:val="000000"/>
          <w:sz w:val="16"/>
          <w:szCs w:val="16"/>
        </w:rPr>
        <w:t>evidence :</w:t>
      </w:r>
      <w:proofErr w:type="gramEnd"/>
      <w:r w:rsidRPr="002949EC">
        <w:rPr>
          <w:rFonts w:ascii="Verdana" w:eastAsia="Times New Roman" w:hAnsi="Verdana" w:cs="Times New Roman"/>
          <w:color w:val="000000"/>
          <w:sz w:val="16"/>
          <w:szCs w:val="16"/>
        </w:rPr>
        <w:t xml:space="preserve"> an academic perspective�, European Association of Competition Law Judges, Annual Conference, May 21, 2010 (invited speaker)</w:t>
      </w:r>
    </w:p>
    <w:p w:rsidR="002949EC" w:rsidRPr="002949EC" w:rsidRDefault="002949EC" w:rsidP="002949EC">
      <w:pPr>
        <w:numPr>
          <w:ilvl w:val="0"/>
          <w:numId w:val="44"/>
        </w:numPr>
        <w:shd w:val="clear" w:color="auto" w:fill="FFFFFF"/>
        <w:spacing w:before="100" w:beforeAutospacing="1" w:after="100" w:afterAutospacing="1" w:line="232" w:lineRule="atLeast"/>
        <w:ind w:left="300" w:right="300"/>
        <w:jc w:val="both"/>
        <w:rPr>
          <w:rFonts w:ascii="Verdana" w:eastAsia="Times New Roman" w:hAnsi="Verdana" w:cs="Times New Roman"/>
          <w:color w:val="000000"/>
          <w:sz w:val="16"/>
          <w:szCs w:val="16"/>
        </w:rPr>
      </w:pPr>
      <w:r w:rsidRPr="002949EC">
        <w:rPr>
          <w:rFonts w:ascii="Verdana" w:eastAsia="Times New Roman" w:hAnsi="Verdana" w:cs="Times New Roman"/>
          <w:color w:val="000000"/>
          <w:sz w:val="16"/>
          <w:szCs w:val="16"/>
        </w:rPr>
        <w:t xml:space="preserve">�IP as a form of regulation: implications for the biotechnology sector�, University of Michigan Law School, Ann </w:t>
      </w:r>
      <w:proofErr w:type="gramStart"/>
      <w:r w:rsidRPr="002949EC">
        <w:rPr>
          <w:rFonts w:ascii="Verdana" w:eastAsia="Times New Roman" w:hAnsi="Verdana" w:cs="Times New Roman"/>
          <w:color w:val="000000"/>
          <w:sz w:val="16"/>
          <w:szCs w:val="16"/>
        </w:rPr>
        <w:t>Arbor ,</w:t>
      </w:r>
      <w:proofErr w:type="gramEnd"/>
      <w:r w:rsidRPr="002949EC">
        <w:rPr>
          <w:rFonts w:ascii="Verdana" w:eastAsia="Times New Roman" w:hAnsi="Verdana" w:cs="Times New Roman"/>
          <w:color w:val="000000"/>
          <w:sz w:val="16"/>
          <w:szCs w:val="16"/>
        </w:rPr>
        <w:t xml:space="preserve"> October 22, 2010 (invited speaker)</w:t>
      </w:r>
    </w:p>
    <w:p w:rsidR="002949EC" w:rsidRPr="002949EC" w:rsidRDefault="002949EC" w:rsidP="002949EC">
      <w:pPr>
        <w:shd w:val="clear" w:color="auto" w:fill="FFFFFF"/>
        <w:spacing w:before="150" w:after="300" w:line="232" w:lineRule="atLeast"/>
        <w:rPr>
          <w:rFonts w:ascii="Verdana" w:hAnsi="Verdana" w:cs="Times New Roman"/>
          <w:color w:val="000000"/>
          <w:sz w:val="17"/>
          <w:szCs w:val="17"/>
        </w:rPr>
      </w:pPr>
      <w:r w:rsidRPr="002949EC">
        <w:rPr>
          <w:rFonts w:ascii="Verdana" w:hAnsi="Verdana" w:cs="Times New Roman"/>
          <w:b/>
          <w:bCs/>
          <w:color w:val="29A6C9"/>
          <w:sz w:val="17"/>
          <w:szCs w:val="17"/>
        </w:rPr>
        <w:t>Current Teaching</w:t>
      </w:r>
    </w:p>
    <w:p w:rsidR="002949EC" w:rsidRPr="002949EC" w:rsidRDefault="002949EC" w:rsidP="002949EC">
      <w:pPr>
        <w:shd w:val="clear" w:color="auto" w:fill="FFFFFF"/>
        <w:spacing w:before="150" w:after="300" w:line="232" w:lineRule="atLeast"/>
        <w:rPr>
          <w:rFonts w:ascii="Verdana" w:hAnsi="Verdana" w:cs="Times New Roman"/>
          <w:color w:val="000000"/>
          <w:sz w:val="16"/>
          <w:szCs w:val="16"/>
        </w:rPr>
      </w:pPr>
      <w:r w:rsidRPr="002949EC">
        <w:rPr>
          <w:rFonts w:ascii="Verdana" w:hAnsi="Verdana" w:cs="Times New Roman"/>
          <w:b/>
          <w:bCs/>
          <w:color w:val="000000"/>
          <w:sz w:val="16"/>
          <w:szCs w:val="16"/>
        </w:rPr>
        <w:t>Subject group convenor for Competition law and law and economics</w:t>
      </w:r>
    </w:p>
    <w:p w:rsidR="002949EC" w:rsidRPr="002949EC" w:rsidRDefault="002949EC" w:rsidP="002949EC">
      <w:pPr>
        <w:shd w:val="clear" w:color="auto" w:fill="FFFFFF"/>
        <w:spacing w:before="150" w:after="300" w:line="232" w:lineRule="atLeast"/>
        <w:rPr>
          <w:rFonts w:ascii="Verdana" w:hAnsi="Verdana" w:cs="Times New Roman"/>
          <w:color w:val="000000"/>
          <w:sz w:val="17"/>
          <w:szCs w:val="17"/>
        </w:rPr>
      </w:pPr>
      <w:r w:rsidRPr="002949EC">
        <w:rPr>
          <w:rFonts w:ascii="Verdana" w:hAnsi="Verdana" w:cs="Times New Roman"/>
          <w:b/>
          <w:bCs/>
          <w:color w:val="29A6C9"/>
          <w:sz w:val="17"/>
          <w:szCs w:val="17"/>
        </w:rPr>
        <w:t>Undergraduate</w:t>
      </w:r>
    </w:p>
    <w:p w:rsidR="002949EC" w:rsidRPr="002949EC" w:rsidRDefault="002949EC" w:rsidP="002949EC">
      <w:pPr>
        <w:shd w:val="clear" w:color="auto" w:fill="FFFFFF"/>
        <w:spacing w:before="150" w:after="300" w:line="232" w:lineRule="atLeast"/>
        <w:rPr>
          <w:rFonts w:ascii="Verdana" w:hAnsi="Verdana" w:cs="Times New Roman"/>
          <w:color w:val="000000"/>
          <w:sz w:val="16"/>
          <w:szCs w:val="16"/>
        </w:rPr>
      </w:pPr>
      <w:r w:rsidRPr="002949EC">
        <w:rPr>
          <w:rFonts w:ascii="Verdana" w:hAnsi="Verdana" w:cs="Times New Roman"/>
          <w:color w:val="000000"/>
          <w:sz w:val="16"/>
          <w:szCs w:val="16"/>
        </w:rPr>
        <w:t>EU Law </w:t>
      </w:r>
      <w:r w:rsidRPr="002949EC">
        <w:rPr>
          <w:rFonts w:ascii="Verdana" w:hAnsi="Verdana" w:cs="Times New Roman"/>
          <w:color w:val="000000"/>
          <w:sz w:val="16"/>
          <w:szCs w:val="16"/>
        </w:rPr>
        <w:br/>
        <w:t>Competition Law (convenor)</w:t>
      </w:r>
    </w:p>
    <w:p w:rsidR="002949EC" w:rsidRPr="002949EC" w:rsidRDefault="002949EC" w:rsidP="002949EC">
      <w:pPr>
        <w:shd w:val="clear" w:color="auto" w:fill="FFFFFF"/>
        <w:spacing w:before="150" w:after="300" w:line="232" w:lineRule="atLeast"/>
        <w:rPr>
          <w:rFonts w:ascii="Verdana" w:hAnsi="Verdana" w:cs="Times New Roman"/>
          <w:color w:val="000000"/>
          <w:sz w:val="17"/>
          <w:szCs w:val="17"/>
        </w:rPr>
      </w:pPr>
      <w:r w:rsidRPr="002949EC">
        <w:rPr>
          <w:rFonts w:ascii="Verdana" w:hAnsi="Verdana" w:cs="Times New Roman"/>
          <w:b/>
          <w:bCs/>
          <w:color w:val="29A6C9"/>
          <w:sz w:val="17"/>
          <w:szCs w:val="17"/>
        </w:rPr>
        <w:t>Graduate</w:t>
      </w:r>
    </w:p>
    <w:p w:rsidR="002949EC" w:rsidRPr="002949EC" w:rsidRDefault="002949EC" w:rsidP="002949EC">
      <w:pPr>
        <w:shd w:val="clear" w:color="auto" w:fill="FFFFFF"/>
        <w:spacing w:before="150" w:after="300" w:line="232" w:lineRule="atLeast"/>
        <w:rPr>
          <w:rFonts w:ascii="Verdana" w:hAnsi="Verdana" w:cs="Times New Roman"/>
          <w:color w:val="000000"/>
          <w:sz w:val="16"/>
          <w:szCs w:val="16"/>
        </w:rPr>
      </w:pPr>
      <w:proofErr w:type="gramStart"/>
      <w:r w:rsidRPr="002949EC">
        <w:rPr>
          <w:rFonts w:ascii="Verdana" w:hAnsi="Verdana" w:cs="Times New Roman"/>
          <w:color w:val="000000"/>
          <w:sz w:val="16"/>
          <w:szCs w:val="16"/>
        </w:rPr>
        <w:t>•  </w:t>
      </w:r>
      <w:proofErr w:type="gramEnd"/>
      <w:r w:rsidRPr="002949EC">
        <w:rPr>
          <w:rFonts w:ascii="Verdana" w:hAnsi="Verdana" w:cs="Times New Roman"/>
          <w:color w:val="000000"/>
          <w:sz w:val="16"/>
          <w:szCs w:val="16"/>
        </w:rPr>
        <w:fldChar w:fldCharType="begin"/>
      </w:r>
      <w:r w:rsidRPr="002949EC">
        <w:rPr>
          <w:rFonts w:ascii="Verdana" w:hAnsi="Verdana" w:cs="Times New Roman"/>
          <w:color w:val="000000"/>
          <w:sz w:val="16"/>
          <w:szCs w:val="16"/>
        </w:rPr>
        <w:instrText xml:space="preserve"> HYPERLINK "http://www.ucl.ac.uk/laws/academics/profiles/courses_llm.shtml?llm_044" </w:instrText>
      </w:r>
      <w:r w:rsidRPr="002949EC">
        <w:rPr>
          <w:rFonts w:ascii="Verdana" w:hAnsi="Verdana" w:cs="Times New Roman"/>
          <w:color w:val="000000"/>
          <w:sz w:val="16"/>
          <w:szCs w:val="16"/>
        </w:rPr>
      </w:r>
      <w:r w:rsidRPr="002949EC">
        <w:rPr>
          <w:rFonts w:ascii="Verdana" w:hAnsi="Verdana" w:cs="Times New Roman"/>
          <w:color w:val="000000"/>
          <w:sz w:val="16"/>
          <w:szCs w:val="16"/>
        </w:rPr>
        <w:fldChar w:fldCharType="separate"/>
      </w:r>
      <w:r w:rsidRPr="002949EC">
        <w:rPr>
          <w:rFonts w:ascii="Verdana" w:hAnsi="Verdana" w:cs="Times New Roman"/>
          <w:color w:val="003399"/>
          <w:sz w:val="16"/>
          <w:szCs w:val="16"/>
        </w:rPr>
        <w:t>International and Comparative Competition Law and Policy </w:t>
      </w:r>
      <w:r w:rsidRPr="002949EC">
        <w:rPr>
          <w:rFonts w:ascii="Verdana" w:hAnsi="Verdana" w:cs="Times New Roman"/>
          <w:color w:val="000000"/>
          <w:sz w:val="16"/>
          <w:szCs w:val="16"/>
        </w:rPr>
        <w:fldChar w:fldCharType="end"/>
      </w:r>
      <w:r w:rsidRPr="002949EC">
        <w:rPr>
          <w:rFonts w:ascii="Verdana" w:hAnsi="Verdana" w:cs="Times New Roman"/>
          <w:color w:val="000000"/>
          <w:sz w:val="16"/>
          <w:szCs w:val="16"/>
        </w:rPr>
        <w:t>(convenor) </w:t>
      </w:r>
      <w:r w:rsidRPr="002949EC">
        <w:rPr>
          <w:rFonts w:ascii="Verdana" w:hAnsi="Verdana" w:cs="Times New Roman"/>
          <w:color w:val="000000"/>
          <w:sz w:val="16"/>
          <w:szCs w:val="16"/>
        </w:rPr>
        <w:br/>
        <w:t>•  Competition Law Enforcement in a Global Context (convenor) </w:t>
      </w:r>
      <w:r w:rsidRPr="002949EC">
        <w:rPr>
          <w:rFonts w:ascii="Verdana" w:hAnsi="Verdana" w:cs="Times New Roman"/>
          <w:color w:val="000000"/>
          <w:sz w:val="16"/>
          <w:szCs w:val="16"/>
        </w:rPr>
        <w:br/>
        <w:t>•  </w:t>
      </w:r>
      <w:hyperlink r:id="rId20" w:history="1">
        <w:r w:rsidRPr="002949EC">
          <w:rPr>
            <w:rFonts w:ascii="Verdana" w:hAnsi="Verdana" w:cs="Times New Roman"/>
            <w:color w:val="003399"/>
            <w:sz w:val="16"/>
            <w:szCs w:val="16"/>
          </w:rPr>
          <w:t>Competition Law and Intellectual property Rights: The Regulation of Innovation </w:t>
        </w:r>
      </w:hyperlink>
      <w:r w:rsidRPr="002949EC">
        <w:rPr>
          <w:rFonts w:ascii="Verdana" w:hAnsi="Verdana" w:cs="Times New Roman"/>
          <w:color w:val="000000"/>
          <w:sz w:val="16"/>
          <w:szCs w:val="16"/>
        </w:rPr>
        <w:t>(convenor) </w:t>
      </w:r>
      <w:r w:rsidRPr="002949EC">
        <w:rPr>
          <w:rFonts w:ascii="Verdana" w:hAnsi="Verdana" w:cs="Times New Roman"/>
          <w:color w:val="000000"/>
          <w:sz w:val="16"/>
          <w:szCs w:val="16"/>
        </w:rPr>
        <w:br/>
        <w:t>•  </w:t>
      </w:r>
      <w:hyperlink r:id="rId21" w:history="1">
        <w:r w:rsidRPr="002949EC">
          <w:rPr>
            <w:rFonts w:ascii="Verdana" w:hAnsi="Verdana" w:cs="Times New Roman"/>
            <w:color w:val="003399"/>
            <w:sz w:val="16"/>
            <w:szCs w:val="16"/>
          </w:rPr>
          <w:t>Law and Economics of Regulated Industries: between Competition and Regulation </w:t>
        </w:r>
      </w:hyperlink>
      <w:r w:rsidRPr="002949EC">
        <w:rPr>
          <w:rFonts w:ascii="Verdana" w:hAnsi="Verdana" w:cs="Times New Roman"/>
          <w:color w:val="000000"/>
          <w:sz w:val="16"/>
          <w:szCs w:val="16"/>
        </w:rPr>
        <w:t>(convenor) </w:t>
      </w:r>
      <w:r w:rsidRPr="002949EC">
        <w:rPr>
          <w:rFonts w:ascii="Verdana" w:hAnsi="Verdana" w:cs="Times New Roman"/>
          <w:color w:val="000000"/>
          <w:sz w:val="16"/>
          <w:szCs w:val="16"/>
        </w:rPr>
        <w:br/>
        <w:t>•  </w:t>
      </w:r>
      <w:hyperlink r:id="rId22" w:history="1">
        <w:r w:rsidRPr="002949EC">
          <w:rPr>
            <w:rFonts w:ascii="Verdana" w:hAnsi="Verdana" w:cs="Times New Roman"/>
            <w:color w:val="003399"/>
            <w:sz w:val="16"/>
            <w:szCs w:val="16"/>
          </w:rPr>
          <w:t>Law and Economics of Regulated Markets </w:t>
        </w:r>
      </w:hyperlink>
      <w:r w:rsidRPr="002949EC">
        <w:rPr>
          <w:rFonts w:ascii="Verdana" w:hAnsi="Verdana" w:cs="Times New Roman"/>
          <w:color w:val="000000"/>
          <w:sz w:val="16"/>
          <w:szCs w:val="16"/>
        </w:rPr>
        <w:br/>
        <w:t>•  </w:t>
      </w:r>
      <w:hyperlink r:id="rId23" w:history="1">
        <w:r w:rsidRPr="002949EC">
          <w:rPr>
            <w:rFonts w:ascii="Verdana" w:hAnsi="Verdana" w:cs="Times New Roman"/>
            <w:color w:val="003399"/>
            <w:sz w:val="16"/>
            <w:szCs w:val="16"/>
          </w:rPr>
          <w:t>European Competition Laws: Enforcement and Comparative Issues </w:t>
        </w:r>
      </w:hyperlink>
      <w:r w:rsidRPr="002949EC">
        <w:rPr>
          <w:rFonts w:ascii="Verdana" w:hAnsi="Verdana" w:cs="Times New Roman"/>
          <w:color w:val="000000"/>
          <w:sz w:val="16"/>
          <w:szCs w:val="16"/>
        </w:rPr>
        <w:t>(convenor) </w:t>
      </w:r>
      <w:r w:rsidRPr="002949EC">
        <w:rPr>
          <w:rFonts w:ascii="Verdana" w:hAnsi="Verdana" w:cs="Times New Roman"/>
          <w:color w:val="000000"/>
          <w:sz w:val="16"/>
          <w:szCs w:val="16"/>
        </w:rPr>
        <w:br/>
        <w:t>•  </w:t>
      </w:r>
      <w:hyperlink r:id="rId24" w:history="1">
        <w:r w:rsidRPr="002949EC">
          <w:rPr>
            <w:rFonts w:ascii="Verdana" w:hAnsi="Verdana" w:cs="Times New Roman"/>
            <w:color w:val="003399"/>
            <w:sz w:val="16"/>
            <w:szCs w:val="16"/>
          </w:rPr>
          <w:t>Competition Law and the State in Europe </w:t>
        </w:r>
      </w:hyperlink>
      <w:r w:rsidRPr="002949EC">
        <w:rPr>
          <w:rFonts w:ascii="Verdana" w:hAnsi="Verdana" w:cs="Times New Roman"/>
          <w:color w:val="000000"/>
          <w:sz w:val="16"/>
          <w:szCs w:val="16"/>
        </w:rPr>
        <w:t>(convenor) </w:t>
      </w:r>
      <w:r w:rsidRPr="002949EC">
        <w:rPr>
          <w:rFonts w:ascii="Verdana" w:hAnsi="Verdana" w:cs="Times New Roman"/>
          <w:color w:val="000000"/>
          <w:sz w:val="16"/>
          <w:szCs w:val="16"/>
        </w:rPr>
        <w:br/>
        <w:t>•  </w:t>
      </w:r>
      <w:hyperlink r:id="rId25" w:history="1">
        <w:r w:rsidRPr="002949EC">
          <w:rPr>
            <w:rFonts w:ascii="Verdana" w:hAnsi="Verdana" w:cs="Times New Roman"/>
            <w:color w:val="003399"/>
            <w:sz w:val="16"/>
            <w:szCs w:val="16"/>
          </w:rPr>
          <w:t>European Internal Market </w:t>
        </w:r>
      </w:hyperlink>
      <w:r w:rsidRPr="002949EC">
        <w:rPr>
          <w:rFonts w:ascii="Verdana" w:hAnsi="Verdana" w:cs="Times New Roman"/>
          <w:color w:val="000000"/>
          <w:sz w:val="16"/>
          <w:szCs w:val="16"/>
        </w:rPr>
        <w:br/>
        <w:t>•  </w:t>
      </w:r>
      <w:hyperlink r:id="rId26" w:history="1">
        <w:r w:rsidRPr="002949EC">
          <w:rPr>
            <w:rFonts w:ascii="Verdana" w:hAnsi="Verdana" w:cs="Times New Roman"/>
            <w:color w:val="003399"/>
            <w:sz w:val="16"/>
            <w:szCs w:val="16"/>
          </w:rPr>
          <w:t>Theory and History of Competition Law </w:t>
        </w:r>
      </w:hyperlink>
      <w:r w:rsidRPr="002949EC">
        <w:rPr>
          <w:rFonts w:ascii="Verdana" w:hAnsi="Verdana" w:cs="Times New Roman"/>
          <w:color w:val="000000"/>
          <w:sz w:val="16"/>
          <w:szCs w:val="16"/>
        </w:rPr>
        <w:t>(convenor)</w:t>
      </w:r>
    </w:p>
    <w:p w:rsidR="002949EC" w:rsidRPr="002949EC" w:rsidRDefault="002949EC" w:rsidP="002949EC">
      <w:pPr>
        <w:shd w:val="clear" w:color="auto" w:fill="FFFFFF"/>
        <w:spacing w:before="150" w:after="300" w:line="232" w:lineRule="atLeast"/>
        <w:rPr>
          <w:rFonts w:ascii="Verdana" w:hAnsi="Verdana" w:cs="Times New Roman"/>
          <w:color w:val="000000"/>
          <w:sz w:val="17"/>
          <w:szCs w:val="17"/>
        </w:rPr>
      </w:pPr>
      <w:r w:rsidRPr="002949EC">
        <w:rPr>
          <w:rFonts w:ascii="Verdana" w:hAnsi="Verdana" w:cs="Times New Roman"/>
          <w:b/>
          <w:bCs/>
          <w:color w:val="29A6C9"/>
          <w:sz w:val="17"/>
          <w:szCs w:val="17"/>
        </w:rPr>
        <w:t>PhD Supervision</w:t>
      </w:r>
    </w:p>
    <w:p w:rsidR="002949EC" w:rsidRPr="002949EC" w:rsidRDefault="002949EC" w:rsidP="002949EC">
      <w:pPr>
        <w:shd w:val="clear" w:color="auto" w:fill="FFFFFF"/>
        <w:spacing w:before="150" w:after="300" w:line="232" w:lineRule="atLeast"/>
        <w:rPr>
          <w:rFonts w:ascii="Verdana" w:hAnsi="Verdana" w:cs="Times New Roman"/>
          <w:color w:val="000000"/>
          <w:sz w:val="16"/>
          <w:szCs w:val="16"/>
        </w:rPr>
      </w:pPr>
      <w:r w:rsidRPr="002949EC">
        <w:rPr>
          <w:rFonts w:ascii="Verdana" w:hAnsi="Verdana" w:cs="Times New Roman"/>
          <w:color w:val="000000"/>
          <w:sz w:val="16"/>
          <w:szCs w:val="16"/>
        </w:rPr>
        <w:t>Dr Lianos welcomes approaches from prospective PhD students in competition law and policy. He is currently supervising: </w:t>
      </w:r>
      <w:r w:rsidRPr="002949EC">
        <w:rPr>
          <w:rFonts w:ascii="Verdana" w:hAnsi="Verdana" w:cs="Times New Roman"/>
          <w:color w:val="000000"/>
          <w:sz w:val="16"/>
          <w:szCs w:val="16"/>
        </w:rPr>
        <w:br/>
      </w:r>
      <w:proofErr w:type="gramStart"/>
      <w:r w:rsidRPr="002949EC">
        <w:rPr>
          <w:rFonts w:ascii="Verdana" w:hAnsi="Verdana" w:cs="Times New Roman"/>
          <w:color w:val="000000"/>
          <w:sz w:val="16"/>
          <w:szCs w:val="16"/>
        </w:rPr>
        <w:t>•  Mr</w:t>
      </w:r>
      <w:proofErr w:type="gramEnd"/>
      <w:r w:rsidRPr="002949EC">
        <w:rPr>
          <w:rFonts w:ascii="Verdana" w:hAnsi="Verdana" w:cs="Times New Roman"/>
          <w:color w:val="000000"/>
          <w:sz w:val="16"/>
          <w:szCs w:val="16"/>
        </w:rPr>
        <w:t xml:space="preserve"> Thomas Ricard </w:t>
      </w:r>
      <w:r w:rsidRPr="002949EC">
        <w:rPr>
          <w:rFonts w:ascii="Verdana" w:hAnsi="Verdana" w:cs="Times New Roman"/>
          <w:color w:val="000000"/>
          <w:sz w:val="16"/>
          <w:szCs w:val="16"/>
        </w:rPr>
        <w:br/>
        <w:t>•  Ms Deni Mantzari </w:t>
      </w:r>
      <w:r w:rsidRPr="002949EC">
        <w:rPr>
          <w:rFonts w:ascii="Verdana" w:hAnsi="Verdana" w:cs="Times New Roman"/>
          <w:color w:val="000000"/>
          <w:sz w:val="16"/>
          <w:szCs w:val="16"/>
        </w:rPr>
        <w:br/>
        <w:t>•  Mr Paolo Siciliani </w:t>
      </w:r>
      <w:r w:rsidRPr="002949EC">
        <w:rPr>
          <w:rFonts w:ascii="Verdana" w:hAnsi="Verdana" w:cs="Times New Roman"/>
          <w:color w:val="000000"/>
          <w:sz w:val="16"/>
          <w:szCs w:val="16"/>
        </w:rPr>
        <w:br/>
        <w:t>•  Ms Azza Raslan </w:t>
      </w:r>
      <w:r w:rsidRPr="002949EC">
        <w:rPr>
          <w:rFonts w:ascii="Verdana" w:hAnsi="Verdana" w:cs="Times New Roman"/>
          <w:color w:val="000000"/>
          <w:sz w:val="16"/>
          <w:szCs w:val="16"/>
        </w:rPr>
        <w:br/>
        <w:t>•  Ms Florence Thepot </w:t>
      </w:r>
      <w:r w:rsidRPr="002949EC">
        <w:rPr>
          <w:rFonts w:ascii="Verdana" w:hAnsi="Verdana" w:cs="Times New Roman"/>
          <w:color w:val="000000"/>
          <w:sz w:val="16"/>
          <w:szCs w:val="16"/>
        </w:rPr>
        <w:br/>
        <w:t>•  Mr. Matthew Slader</w:t>
      </w:r>
    </w:p>
    <w:p w:rsidR="002949EC" w:rsidRPr="002949EC" w:rsidRDefault="002949EC" w:rsidP="002949EC">
      <w:pPr>
        <w:rPr>
          <w:rFonts w:ascii="Times" w:eastAsia="Times New Roman" w:hAnsi="Times" w:cs="Times New Roman"/>
          <w:sz w:val="20"/>
          <w:szCs w:val="20"/>
        </w:rPr>
      </w:pPr>
    </w:p>
    <w:p w:rsidR="003D2CE6" w:rsidRDefault="003D2CE6" w:rsidP="002949EC"/>
    <w:sectPr w:rsidR="003D2CE6"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117"/>
    <w:multiLevelType w:val="multilevel"/>
    <w:tmpl w:val="5D82DC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6633356"/>
    <w:multiLevelType w:val="multilevel"/>
    <w:tmpl w:val="622219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460F13"/>
    <w:multiLevelType w:val="multilevel"/>
    <w:tmpl w:val="14704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A895DB6"/>
    <w:multiLevelType w:val="multilevel"/>
    <w:tmpl w:val="B95ED1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C427D37"/>
    <w:multiLevelType w:val="multilevel"/>
    <w:tmpl w:val="DCD686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781B35"/>
    <w:multiLevelType w:val="multilevel"/>
    <w:tmpl w:val="107E16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DE427A5"/>
    <w:multiLevelType w:val="multilevel"/>
    <w:tmpl w:val="5AE46F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0F1415F9"/>
    <w:multiLevelType w:val="multilevel"/>
    <w:tmpl w:val="3D207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F2B0897"/>
    <w:multiLevelType w:val="multilevel"/>
    <w:tmpl w:val="94AC38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34D337E"/>
    <w:multiLevelType w:val="multilevel"/>
    <w:tmpl w:val="66845A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5771E70"/>
    <w:multiLevelType w:val="multilevel"/>
    <w:tmpl w:val="E84899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17DE6030"/>
    <w:multiLevelType w:val="multilevel"/>
    <w:tmpl w:val="B510DC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82E462D"/>
    <w:multiLevelType w:val="multilevel"/>
    <w:tmpl w:val="D8C48B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8C91EB2"/>
    <w:multiLevelType w:val="multilevel"/>
    <w:tmpl w:val="7AA486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18FF1F59"/>
    <w:multiLevelType w:val="multilevel"/>
    <w:tmpl w:val="C3DC55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A793DDF"/>
    <w:multiLevelType w:val="multilevel"/>
    <w:tmpl w:val="8CCAB3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1FAC4DDD"/>
    <w:multiLevelType w:val="multilevel"/>
    <w:tmpl w:val="B2527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A067162"/>
    <w:multiLevelType w:val="multilevel"/>
    <w:tmpl w:val="0B344F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E2F0A09"/>
    <w:multiLevelType w:val="multilevel"/>
    <w:tmpl w:val="3BDCB1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F064275"/>
    <w:multiLevelType w:val="multilevel"/>
    <w:tmpl w:val="8634E8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2F7028D7"/>
    <w:multiLevelType w:val="multilevel"/>
    <w:tmpl w:val="0EBCA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nsid w:val="2FDA034D"/>
    <w:multiLevelType w:val="multilevel"/>
    <w:tmpl w:val="B4189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37A91258"/>
    <w:multiLevelType w:val="multilevel"/>
    <w:tmpl w:val="D46E0B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3A673011"/>
    <w:multiLevelType w:val="multilevel"/>
    <w:tmpl w:val="810E9A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D2F71DB"/>
    <w:multiLevelType w:val="multilevel"/>
    <w:tmpl w:val="3DCAF9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432524D6"/>
    <w:multiLevelType w:val="multilevel"/>
    <w:tmpl w:val="9B56A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43F56047"/>
    <w:multiLevelType w:val="multilevel"/>
    <w:tmpl w:val="789800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FA669F6"/>
    <w:multiLevelType w:val="multilevel"/>
    <w:tmpl w:val="87180E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06A3D5E"/>
    <w:multiLevelType w:val="multilevel"/>
    <w:tmpl w:val="E6EA53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527D41B2"/>
    <w:multiLevelType w:val="multilevel"/>
    <w:tmpl w:val="05EC93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35E0678"/>
    <w:multiLevelType w:val="multilevel"/>
    <w:tmpl w:val="C4BCFE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9926F11"/>
    <w:multiLevelType w:val="multilevel"/>
    <w:tmpl w:val="7FE4F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998551E"/>
    <w:multiLevelType w:val="multilevel"/>
    <w:tmpl w:val="3FC494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C7C4332"/>
    <w:multiLevelType w:val="multilevel"/>
    <w:tmpl w:val="0F7EA3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5DF555EC"/>
    <w:multiLevelType w:val="multilevel"/>
    <w:tmpl w:val="0E08B4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EFA6EDF"/>
    <w:multiLevelType w:val="multilevel"/>
    <w:tmpl w:val="7E46A6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nsid w:val="61A83692"/>
    <w:multiLevelType w:val="multilevel"/>
    <w:tmpl w:val="737A83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63BC7EE5"/>
    <w:multiLevelType w:val="multilevel"/>
    <w:tmpl w:val="C9DC7E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6D41619"/>
    <w:multiLevelType w:val="multilevel"/>
    <w:tmpl w:val="C11AB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76F4E3A"/>
    <w:multiLevelType w:val="multilevel"/>
    <w:tmpl w:val="A82084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nsid w:val="6C9E2D85"/>
    <w:multiLevelType w:val="multilevel"/>
    <w:tmpl w:val="FE2EE3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F0B4B4B"/>
    <w:multiLevelType w:val="multilevel"/>
    <w:tmpl w:val="87D45A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72A86E60"/>
    <w:multiLevelType w:val="multilevel"/>
    <w:tmpl w:val="5F7689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nsid w:val="72C9663D"/>
    <w:multiLevelType w:val="multilevel"/>
    <w:tmpl w:val="F83465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7"/>
  </w:num>
  <w:num w:numId="2">
    <w:abstractNumId w:val="30"/>
  </w:num>
  <w:num w:numId="3">
    <w:abstractNumId w:val="35"/>
  </w:num>
  <w:num w:numId="4">
    <w:abstractNumId w:val="36"/>
  </w:num>
  <w:num w:numId="5">
    <w:abstractNumId w:val="27"/>
  </w:num>
  <w:num w:numId="6">
    <w:abstractNumId w:val="13"/>
  </w:num>
  <w:num w:numId="7">
    <w:abstractNumId w:val="32"/>
  </w:num>
  <w:num w:numId="8">
    <w:abstractNumId w:val="19"/>
  </w:num>
  <w:num w:numId="9">
    <w:abstractNumId w:val="10"/>
  </w:num>
  <w:num w:numId="10">
    <w:abstractNumId w:val="2"/>
  </w:num>
  <w:num w:numId="11">
    <w:abstractNumId w:val="0"/>
  </w:num>
  <w:num w:numId="12">
    <w:abstractNumId w:val="31"/>
  </w:num>
  <w:num w:numId="13">
    <w:abstractNumId w:val="40"/>
  </w:num>
  <w:num w:numId="14">
    <w:abstractNumId w:val="24"/>
  </w:num>
  <w:num w:numId="15">
    <w:abstractNumId w:val="9"/>
  </w:num>
  <w:num w:numId="16">
    <w:abstractNumId w:val="38"/>
  </w:num>
  <w:num w:numId="17">
    <w:abstractNumId w:val="7"/>
  </w:num>
  <w:num w:numId="18">
    <w:abstractNumId w:val="26"/>
  </w:num>
  <w:num w:numId="19">
    <w:abstractNumId w:val="15"/>
  </w:num>
  <w:num w:numId="20">
    <w:abstractNumId w:val="34"/>
  </w:num>
  <w:num w:numId="21">
    <w:abstractNumId w:val="4"/>
  </w:num>
  <w:num w:numId="22">
    <w:abstractNumId w:val="14"/>
  </w:num>
  <w:num w:numId="23">
    <w:abstractNumId w:val="20"/>
  </w:num>
  <w:num w:numId="24">
    <w:abstractNumId w:val="29"/>
  </w:num>
  <w:num w:numId="25">
    <w:abstractNumId w:val="33"/>
  </w:num>
  <w:num w:numId="26">
    <w:abstractNumId w:val="3"/>
  </w:num>
  <w:num w:numId="27">
    <w:abstractNumId w:val="42"/>
  </w:num>
  <w:num w:numId="28">
    <w:abstractNumId w:val="23"/>
  </w:num>
  <w:num w:numId="29">
    <w:abstractNumId w:val="11"/>
  </w:num>
  <w:num w:numId="30">
    <w:abstractNumId w:val="37"/>
  </w:num>
  <w:num w:numId="31">
    <w:abstractNumId w:val="41"/>
  </w:num>
  <w:num w:numId="32">
    <w:abstractNumId w:val="8"/>
  </w:num>
  <w:num w:numId="33">
    <w:abstractNumId w:val="12"/>
  </w:num>
  <w:num w:numId="34">
    <w:abstractNumId w:val="6"/>
  </w:num>
  <w:num w:numId="35">
    <w:abstractNumId w:val="1"/>
  </w:num>
  <w:num w:numId="36">
    <w:abstractNumId w:val="43"/>
  </w:num>
  <w:num w:numId="37">
    <w:abstractNumId w:val="39"/>
  </w:num>
  <w:num w:numId="38">
    <w:abstractNumId w:val="22"/>
  </w:num>
  <w:num w:numId="39">
    <w:abstractNumId w:val="16"/>
  </w:num>
  <w:num w:numId="40">
    <w:abstractNumId w:val="28"/>
  </w:num>
  <w:num w:numId="41">
    <w:abstractNumId w:val="25"/>
  </w:num>
  <w:num w:numId="42">
    <w:abstractNumId w:val="18"/>
  </w:num>
  <w:num w:numId="43">
    <w:abstractNumId w:val="2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EC"/>
    <w:rsid w:val="002949EC"/>
    <w:rsid w:val="003D2CE6"/>
    <w:rsid w:val="008E7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66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9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9EC"/>
    <w:rPr>
      <w:rFonts w:ascii="Times" w:hAnsi="Times"/>
      <w:b/>
      <w:bCs/>
      <w:kern w:val="36"/>
      <w:sz w:val="48"/>
      <w:szCs w:val="48"/>
    </w:rPr>
  </w:style>
  <w:style w:type="paragraph" w:styleId="NormalWeb">
    <w:name w:val="Normal (Web)"/>
    <w:basedOn w:val="Normal"/>
    <w:uiPriority w:val="99"/>
    <w:unhideWhenUsed/>
    <w:rsid w:val="002949E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949EC"/>
    <w:rPr>
      <w:b/>
      <w:bCs/>
    </w:rPr>
  </w:style>
  <w:style w:type="character" w:customStyle="1" w:styleId="apple-converted-space">
    <w:name w:val="apple-converted-space"/>
    <w:basedOn w:val="DefaultParagraphFont"/>
    <w:rsid w:val="002949EC"/>
  </w:style>
  <w:style w:type="character" w:styleId="Hyperlink">
    <w:name w:val="Hyperlink"/>
    <w:basedOn w:val="DefaultParagraphFont"/>
    <w:uiPriority w:val="99"/>
    <w:semiHidden/>
    <w:unhideWhenUsed/>
    <w:rsid w:val="002949EC"/>
    <w:rPr>
      <w:color w:val="0000FF"/>
      <w:u w:val="single"/>
    </w:rPr>
  </w:style>
  <w:style w:type="character" w:styleId="Emphasis">
    <w:name w:val="Emphasis"/>
    <w:basedOn w:val="DefaultParagraphFont"/>
    <w:uiPriority w:val="20"/>
    <w:qFormat/>
    <w:rsid w:val="002949EC"/>
    <w:rPr>
      <w:i/>
      <w:iCs/>
    </w:rPr>
  </w:style>
  <w:style w:type="paragraph" w:styleId="BalloonText">
    <w:name w:val="Balloon Text"/>
    <w:basedOn w:val="Normal"/>
    <w:link w:val="BalloonTextChar"/>
    <w:uiPriority w:val="99"/>
    <w:semiHidden/>
    <w:unhideWhenUsed/>
    <w:rsid w:val="00294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9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49E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9EC"/>
    <w:rPr>
      <w:rFonts w:ascii="Times" w:hAnsi="Times"/>
      <w:b/>
      <w:bCs/>
      <w:kern w:val="36"/>
      <w:sz w:val="48"/>
      <w:szCs w:val="48"/>
    </w:rPr>
  </w:style>
  <w:style w:type="paragraph" w:styleId="NormalWeb">
    <w:name w:val="Normal (Web)"/>
    <w:basedOn w:val="Normal"/>
    <w:uiPriority w:val="99"/>
    <w:unhideWhenUsed/>
    <w:rsid w:val="002949E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949EC"/>
    <w:rPr>
      <w:b/>
      <w:bCs/>
    </w:rPr>
  </w:style>
  <w:style w:type="character" w:customStyle="1" w:styleId="apple-converted-space">
    <w:name w:val="apple-converted-space"/>
    <w:basedOn w:val="DefaultParagraphFont"/>
    <w:rsid w:val="002949EC"/>
  </w:style>
  <w:style w:type="character" w:styleId="Hyperlink">
    <w:name w:val="Hyperlink"/>
    <w:basedOn w:val="DefaultParagraphFont"/>
    <w:uiPriority w:val="99"/>
    <w:semiHidden/>
    <w:unhideWhenUsed/>
    <w:rsid w:val="002949EC"/>
    <w:rPr>
      <w:color w:val="0000FF"/>
      <w:u w:val="single"/>
    </w:rPr>
  </w:style>
  <w:style w:type="character" w:styleId="Emphasis">
    <w:name w:val="Emphasis"/>
    <w:basedOn w:val="DefaultParagraphFont"/>
    <w:uiPriority w:val="20"/>
    <w:qFormat/>
    <w:rsid w:val="002949EC"/>
    <w:rPr>
      <w:i/>
      <w:iCs/>
    </w:rPr>
  </w:style>
  <w:style w:type="paragraph" w:styleId="BalloonText">
    <w:name w:val="Balloon Text"/>
    <w:basedOn w:val="Normal"/>
    <w:link w:val="BalloonTextChar"/>
    <w:uiPriority w:val="99"/>
    <w:semiHidden/>
    <w:unhideWhenUsed/>
    <w:rsid w:val="002949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49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73651">
      <w:bodyDiv w:val="1"/>
      <w:marLeft w:val="0"/>
      <w:marRight w:val="0"/>
      <w:marTop w:val="0"/>
      <w:marBottom w:val="0"/>
      <w:divBdr>
        <w:top w:val="none" w:sz="0" w:space="0" w:color="auto"/>
        <w:left w:val="none" w:sz="0" w:space="0" w:color="auto"/>
        <w:bottom w:val="none" w:sz="0" w:space="0" w:color="auto"/>
        <w:right w:val="none" w:sz="0" w:space="0" w:color="auto"/>
      </w:divBdr>
      <w:divsChild>
        <w:div w:id="1935630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71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31543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87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cl.ac.uk/laws/jevons/" TargetMode="External"/><Relationship Id="rId20" Type="http://schemas.openxmlformats.org/officeDocument/2006/relationships/hyperlink" Target="http://www.ucl.ac.uk/laws/academics/profiles/courses_llm.shtml?llm_096" TargetMode="External"/><Relationship Id="rId21" Type="http://schemas.openxmlformats.org/officeDocument/2006/relationships/hyperlink" Target="http://www.ucl.ac.uk/laws/academics/profiles/courses_llm.shtml?llm_062" TargetMode="External"/><Relationship Id="rId22" Type="http://schemas.openxmlformats.org/officeDocument/2006/relationships/hyperlink" Target="http://www.ucl.ac.uk/laws/academics/profiles/courses_llm.shtml?llm_091" TargetMode="External"/><Relationship Id="rId23" Type="http://schemas.openxmlformats.org/officeDocument/2006/relationships/hyperlink" Target="http://www.ucl.ac.uk/laws/academics/profiles/courses_llm.shtml?llm_031" TargetMode="External"/><Relationship Id="rId24" Type="http://schemas.openxmlformats.org/officeDocument/2006/relationships/hyperlink" Target="http://www.ucl.ac.uk/laws/academics/profiles/courses_llm.shtml?llm_013" TargetMode="External"/><Relationship Id="rId25" Type="http://schemas.openxmlformats.org/officeDocument/2006/relationships/hyperlink" Target="http://www.ucl.ac.uk/laws/academics/profiles/courses_llm.shtml?llm_027" TargetMode="External"/><Relationship Id="rId26" Type="http://schemas.openxmlformats.org/officeDocument/2006/relationships/hyperlink" Target="http://www.ucl.ac.uk/laws/academics/profiles/courses_llm.shtml?llm_145"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i.lianos@ucl.ac.uk" TargetMode="External"/><Relationship Id="rId11" Type="http://schemas.openxmlformats.org/officeDocument/2006/relationships/hyperlink" Target="http://www.sup.org/browse.cgi?x=series&amp;y=Global%20Competition%20Law%20and%20Economics" TargetMode="External"/><Relationship Id="rId12" Type="http://schemas.openxmlformats.org/officeDocument/2006/relationships/hyperlink" Target="http://www.concurrences.com/" TargetMode="External"/><Relationship Id="rId13" Type="http://schemas.openxmlformats.org/officeDocument/2006/relationships/hyperlink" Target="http://www.imedipa.com/" TargetMode="External"/><Relationship Id="rId14" Type="http://schemas.openxmlformats.org/officeDocument/2006/relationships/hyperlink" Target="http://ucl.academia.edu/IoannisLianos" TargetMode="External"/><Relationship Id="rId15" Type="http://schemas.openxmlformats.org/officeDocument/2006/relationships/hyperlink" Target="http://ucl.academia.edu/IoannisLianos" TargetMode="External"/><Relationship Id="rId16" Type="http://schemas.openxmlformats.org/officeDocument/2006/relationships/hyperlink" Target="http://www.cms.uva.nl/acle/object.cfm/objectid=66A43951-1DFD-4068-9DFF365B13745475/download=true" TargetMode="External"/><Relationship Id="rId17" Type="http://schemas.openxmlformats.org/officeDocument/2006/relationships/hyperlink" Target="http://www.cms.uva.nl/acle/object.cfm/objectid=7C16A1A2-AFDE-4D38-B3F98ECC81E47B04/download=true" TargetMode="External"/><Relationship Id="rId18" Type="http://schemas.openxmlformats.org/officeDocument/2006/relationships/hyperlink" Target="http://www.tilburguniversity.nl/tilec/meetings/seminars/2008/maart/lianospaper.pdf" TargetMode="External"/><Relationship Id="rId19" Type="http://schemas.openxmlformats.org/officeDocument/2006/relationships/hyperlink" Target="http://papers.ssrn.com/sol3/papers.cfm?abstract_id=146450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ucl.ac.uk/cles" TargetMode="External"/><Relationship Id="rId8" Type="http://schemas.openxmlformats.org/officeDocument/2006/relationships/hyperlink" Target="http://www.ucl.ac.uk/laws/global_law/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3215</Words>
  <Characters>18330</Characters>
  <Application>Microsoft Macintosh Word</Application>
  <DocSecurity>0</DocSecurity>
  <Lines>152</Lines>
  <Paragraphs>43</Paragraphs>
  <ScaleCrop>false</ScaleCrop>
  <Company>Panteion University of Social and Political Science</Company>
  <LinksUpToDate>false</LinksUpToDate>
  <CharactersWithSpaces>21502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1</cp:revision>
  <dcterms:created xsi:type="dcterms:W3CDTF">2014-12-10T08:25:00Z</dcterms:created>
  <dcterms:modified xsi:type="dcterms:W3CDTF">2014-12-10T08:26:00Z</dcterms:modified>
</cp:coreProperties>
</file>